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맑은 고딕" w:hAnsi="맑은 고딕" w:eastAsia="맑은 고딕"/>
          <w:b/>
          <w:i w:val="0"/>
          <w:color w:val="2563A8"/>
          <w:sz w:val="20"/>
        </w:rPr>
        <w:t>교육자료 모듈 03 · 관광벤처창업론</w:t>
      </w:r>
    </w:p>
    <w:p>
      <w:pPr>
        <w:spacing w:after="80"/>
      </w:pPr>
      <w:r>
        <w:rPr>
          <w:rFonts w:ascii="맑은 고딕" w:hAnsi="맑은 고딕" w:eastAsia="맑은 고딕"/>
          <w:b/>
          <w:color w:val="17539B"/>
          <w:sz w:val="48"/>
        </w:rPr>
        <w:t>이 페이지를 읽는 법</w:t>
      </w:r>
    </w:p>
    <w:p>
      <w:pPr>
        <w:spacing w:before="0" w:after="200"/>
      </w:pPr>
      <w:r>
        <w:rPr>
          <w:rFonts w:ascii="맑은 고딕" w:hAnsi="맑은 고딕" w:eastAsia="맑은 고딕"/>
          <w:b w:val="0"/>
          <w:i w:val="0"/>
          <w:color w:val="4D5F74"/>
          <w:sz w:val="22"/>
        </w:rPr>
        <w:t>여행에서 사업을 짓다 — 이론 6장 · 사례 10편 · 공모 자료 28건을 헤매지 않고 쓰는 안내서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041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대상 페이지</w:t>
            </w:r>
          </w:p>
        </w:tc>
        <w:tc>
          <w:tcPr>
            <w:tcW w:type="dxa" w:w="7257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sunshinewellness.co.kr/learn/tourism-venture.html</w:t>
            </w:r>
          </w:p>
        </w:tc>
      </w:tr>
      <w:tr>
        <w:tc>
          <w:tcPr>
            <w:tcW w:type="dxa" w:w="204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통독 시간</w:t>
            </w:r>
          </w:p>
        </w:tc>
        <w:tc>
          <w:tcPr>
            <w:tcW w:type="dxa" w:w="725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약 40분 (필요한 곳만 골라 읽으면 10분)</w:t>
            </w:r>
          </w:p>
        </w:tc>
      </w:tr>
      <w:tr>
        <w:tc>
          <w:tcPr>
            <w:tcW w:type="dxa" w:w="204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구성</w:t>
            </w:r>
          </w:p>
        </w:tc>
        <w:tc>
          <w:tcPr>
            <w:tcW w:type="dxa" w:w="725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이론 01~06장 · 사례 10블록 · 관련 링크 28건</w:t>
            </w:r>
          </w:p>
        </w:tc>
      </w:tr>
      <w:tr>
        <w:tc>
          <w:tcPr>
            <w:tcW w:type="dxa" w:w="204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이 문서의 목적</w:t>
            </w:r>
          </w:p>
        </w:tc>
        <w:tc>
          <w:tcPr>
            <w:tcW w:type="dxa" w:w="725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"어디부터 읽을 것인가"를 정해 주는 것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1F7FD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21"/>
              </w:rPr>
              <w:t>먼저 알아 둘 것 — 이 페이지는 처음부터 끝까지 읽는 글이 아닙니다.</w:t>
            </w:r>
          </w:p>
          <w:p>
            <w:pPr>
              <w:spacing w:after="0" w:line="336" w:lineRule="auto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 xml:space="preserve">위에서 아래로 갈수록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20"/>
              </w:rPr>
              <w:t>추상에서 구체로</w:t>
            </w: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 xml:space="preserve"> 내려갑니다. 앞쪽은 개념(무엇이 관광벤처인가), 가운데는 사례(그것이 실제로 어떤 모습인가), 뒤쪽은 공모와 링크(지금 두드릴 수 있는 문). 그래서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20"/>
              </w:rPr>
              <w:t>지금 자기가 어느 단계에 있는지</w:t>
            </w: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에 따라 들어가는 문이 달라집니다. 아래 ②의 세 갈래 중 하나를 고르십시오.</w:t>
            </w:r>
          </w:p>
        </w:tc>
      </w:tr>
    </w:tbl>
    <w:p>
      <w:pPr>
        <w:spacing w:after="0"/>
      </w:pP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① 뼈대 — 이 페이지는 세 층으로 되어 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701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층</w:t>
            </w:r>
          </w:p>
        </w:tc>
        <w:tc>
          <w:tcPr>
            <w:tcW w:type="dxa" w:w="4876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해당 부분</w:t>
            </w:r>
          </w:p>
        </w:tc>
        <w:tc>
          <w:tcPr>
            <w:tcW w:type="dxa" w:w="2721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성격</w:t>
            </w:r>
          </w:p>
        </w:tc>
      </w:tr>
      <w:tr>
        <w:tc>
          <w:tcPr>
            <w:tcW w:type="dxa" w:w="170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1층 · 이론</w:t>
            </w:r>
          </w:p>
        </w:tc>
        <w:tc>
          <w:tcPr>
            <w:tcW w:type="dxa" w:w="4876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01 관광벤처란 → 02 문제 정의 → 03 비즈니스 모델 →</w:t>
              <w:br/>
              <w:t>04 린 스타트업 → 05 창업 생태계와 지원 → 06 이 사이트를 사례로 읽기</w:t>
            </w:r>
          </w:p>
        </w:tc>
        <w:tc>
          <w:tcPr>
            <w:tcW w:type="dxa" w:w="272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개념. 20분이면 통독</w:t>
            </w:r>
          </w:p>
        </w:tc>
      </w:tr>
      <w:tr>
        <w:tc>
          <w:tcPr>
            <w:tcW w:type="dxa" w:w="170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2층 · 사례</w:t>
            </w:r>
          </w:p>
        </w:tc>
        <w:tc>
          <w:tcPr>
            <w:tcW w:type="dxa" w:w="4876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비건부산(해커톤 MVP) · 성심당(로컬 브랜드 영상) ·</w:t>
              <w:br/>
              <w:t>어반리즘 하우스(관광 컨설팅 B2G)</w:t>
            </w:r>
          </w:p>
        </w:tc>
        <w:tc>
          <w:tcPr>
            <w:tcW w:type="dxa" w:w="272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이론이 실제로 어떤 모습인지</w:t>
            </w:r>
          </w:p>
        </w:tc>
      </w:tr>
      <w:tr>
        <w:tc>
          <w:tcPr>
            <w:tcW w:type="dxa" w:w="170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3층 · 공모와 링크</w:t>
            </w:r>
          </w:p>
        </w:tc>
        <w:tc>
          <w:tcPr>
            <w:tcW w:type="dxa" w:w="4876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예비관광벤처 → 관광데이터 공모전 → 정부 R&amp;D →</w:t>
              <w:br/>
              <w:t>경주·경북·안동 → 구미·포항 → 로컬크리에이터 → 링크 28건</w:t>
            </w:r>
          </w:p>
        </w:tc>
        <w:tc>
          <w:tcPr>
            <w:tcW w:type="dxa" w:w="272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지금 두드릴 수 있는 문</w:t>
            </w:r>
          </w:p>
        </w:tc>
      </w:tr>
    </w:tbl>
    <w:p>
      <w:pPr>
        <w:spacing w:after="0"/>
      </w:pP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② 진입점 — 지금 자기 상태에 따라 세 갈래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928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지금 상태</w:t>
            </w:r>
          </w:p>
        </w:tc>
        <w:tc>
          <w:tcPr>
            <w:tcW w:type="dxa" w:w="5896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읽는 순서</w:t>
            </w:r>
          </w:p>
        </w:tc>
        <w:tc>
          <w:tcPr>
            <w:tcW w:type="dxa" w:w="1474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시간</w:t>
            </w:r>
          </w:p>
        </w:tc>
      </w:tr>
      <w:tr>
        <w:tc>
          <w:tcPr>
            <w:tcW w:type="dxa" w:w="192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과제·시험 때문에 왔다</w:t>
            </w:r>
          </w:p>
        </w:tc>
        <w:tc>
          <w:tcPr>
            <w:tcW w:type="dxa" w:w="5896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01~06장을 순서대로 → 성심당 영상 → 비건부산.</w:t>
              <w:br/>
              <w:t xml:space="preserve">여기까지가 '관광벤처론'입니다.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뒤의 공모 부분은 건너뛰어도 됩니다.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20분</w:t>
            </w:r>
          </w:p>
        </w:tc>
      </w:tr>
      <w:tr>
        <w:tc>
          <w:tcPr>
            <w:tcW w:type="dxa" w:w="192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낼 곳을 찾고 있다</w:t>
            </w:r>
          </w:p>
        </w:tc>
        <w:tc>
          <w:tcPr>
            <w:tcW w:type="dxa" w:w="5896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 xml:space="preserve">05장 → 「예비관광벤처 사업공모」 → 「안동시」 절의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마지막 문단</w:t>
            </w:r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(자격의 공통 문법) →</w:t>
              <w:br/>
              <w:t>관련 링크의 투어라즈·모모365·기업마당 → AI 자동화 키트.</w:t>
              <w:br/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아래에서 위로 거슬러 읽는 편이 빠릅니다.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15분</w:t>
            </w:r>
          </w:p>
        </w:tc>
      </w:tr>
      <w:tr>
        <w:tc>
          <w:tcPr>
            <w:tcW w:type="dxa" w:w="192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아이템이 아직 없다</w:t>
            </w:r>
          </w:p>
        </w:tc>
        <w:tc>
          <w:tcPr>
            <w:tcW w:type="dxa" w:w="5896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「구미·포항」(사람이 이미 모이는 곳) → 「경주 황오동」(그 자리에 실제로 무엇이 열렸나) →</w:t>
              <w:br/>
              <w:t xml:space="preserve">「로컬크리에이터 7대 유형」 → 그다음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02장으로 되돌아가</w:t>
            </w:r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 xml:space="preserve"> 문제 정의.</w:t>
              <w:br/>
              <w:t xml:space="preserve">아이템은 상상이 아니라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빈칸</w:t>
            </w:r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에서 나옵니다.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25분</w:t>
            </w:r>
          </w:p>
        </w:tc>
      </w:tr>
    </w:tbl>
    <w:p>
      <w:pPr>
        <w:spacing w:after="0"/>
      </w:pP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③ 격자 — 공모 여섯 개를 따로 외우지 말 것</w:t>
      </w:r>
    </w:p>
    <w:p>
      <w:pPr>
        <w:spacing w:before="0" w:after="160"/>
      </w:pPr>
      <w:r>
        <w:rPr>
          <w:rFonts w:ascii="맑은 고딕" w:hAnsi="맑은 고딕" w:eastAsia="맑은 고딕"/>
          <w:b w:val="0"/>
          <w:i w:val="0"/>
          <w:sz w:val="21"/>
        </w:rPr>
        <w:t xml:space="preserve">이 페이지에 나오는 공모는 전부 같은 네 칸으로 되어 있습니다 —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나이 · 지역 · 분야 · 업력</w:t>
      </w:r>
      <w:r>
        <w:rPr>
          <w:rFonts w:ascii="맑은 고딕" w:hAnsi="맑은 고딕" w:eastAsia="맑은 고딕"/>
          <w:b w:val="0"/>
          <w:i w:val="0"/>
          <w:sz w:val="21"/>
        </w:rPr>
        <w:t xml:space="preserve">. 자본금도 학벌도 어디에도 없습니다. 관광을 공부하는 학생은 이미 자격의 대부분을 갖췄고, 남은 하나는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낼 것을 만들어 두었는가</w:t>
      </w:r>
      <w:r>
        <w:rPr>
          <w:rFonts w:ascii="맑은 고딕" w:hAnsi="맑은 고딕" w:eastAsia="맑은 고딕"/>
          <w:b w:val="0"/>
          <w:i w:val="0"/>
          <w:sz w:val="21"/>
        </w:rPr>
        <w:t>뿐입니다.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2268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공모</w:t>
            </w:r>
          </w:p>
        </w:tc>
        <w:tc>
          <w:tcPr>
            <w:tcW w:type="dxa" w:w="1304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나이</w:t>
            </w:r>
          </w:p>
        </w:tc>
        <w:tc>
          <w:tcPr>
            <w:tcW w:type="dxa" w:w="1247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지역</w:t>
            </w:r>
          </w:p>
        </w:tc>
        <w:tc>
          <w:tcPr>
            <w:tcW w:type="dxa" w:w="1474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업력</w:t>
            </w:r>
          </w:p>
        </w:tc>
        <w:tc>
          <w:tcPr>
            <w:tcW w:type="dxa" w:w="2551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규모(회차 기준)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예비관광벤처 사업공모</w:t>
              <w:br/>
              <w:t>(한국관광공사)</w:t>
            </w:r>
          </w:p>
        </w:tc>
        <w:tc>
          <w:tcPr>
            <w:tcW w:type="dxa" w:w="130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제한 없음</w:t>
            </w:r>
          </w:p>
        </w:tc>
        <w:tc>
          <w:tcPr>
            <w:tcW w:type="dxa" w:w="124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전국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사업자등록 전</w:t>
            </w:r>
          </w:p>
        </w:tc>
        <w:tc>
          <w:tcPr>
            <w:tcW w:type="dxa" w:w="255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3,000~7,000만원 · 15팀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관광데이터 활용 공모전</w:t>
              <w:br/>
              <w:t>(한국관광공사)</w:t>
            </w:r>
          </w:p>
        </w:tc>
        <w:tc>
          <w:tcPr>
            <w:tcW w:type="dxa" w:w="130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제한 없음</w:t>
            </w:r>
          </w:p>
        </w:tc>
        <w:tc>
          <w:tcPr>
            <w:tcW w:type="dxa" w:w="124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국내 거주자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무관 — 누구나</w:t>
            </w:r>
          </w:p>
        </w:tc>
        <w:tc>
          <w:tcPr>
            <w:tcW w:type="dxa" w:w="255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대상 1,000만원 등 22팀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경북 관광 스타트업</w:t>
              <w:br/>
              <w:t>(경북관광기업지원센터)</w:t>
            </w:r>
          </w:p>
        </w:tc>
        <w:tc>
          <w:tcPr>
            <w:tcW w:type="dxa" w:w="130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제한 없음</w:t>
            </w:r>
          </w:p>
        </w:tc>
        <w:tc>
          <w:tcPr>
            <w:tcW w:type="dxa" w:w="124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경상북도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예비~1년 / 7년 이내</w:t>
            </w:r>
          </w:p>
        </w:tc>
        <w:tc>
          <w:tcPr>
            <w:tcW w:type="dxa" w:w="255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1,000~3,000만원 · 10개사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청년 스타트업 관광기업</w:t>
              <w:br/>
              <w:t>(안동시)</w:t>
            </w:r>
          </w:p>
        </w:tc>
        <w:tc>
          <w:tcPr>
            <w:tcW w:type="dxa" w:w="130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만 39세 이하</w:t>
            </w:r>
          </w:p>
        </w:tc>
        <w:tc>
          <w:tcPr>
            <w:tcW w:type="dxa" w:w="124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안동</w:t>
              <w:br/>
              <w:t>(이전 가능)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예비~7년</w:t>
            </w:r>
          </w:p>
        </w:tc>
        <w:tc>
          <w:tcPr>
            <w:tcW w:type="dxa" w:w="255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1,000~3,000만원 · 8개사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청년 로컬크리에이터 레벨업</w:t>
              <w:br/>
              <w:t>(부산광역시)</w:t>
            </w:r>
          </w:p>
        </w:tc>
        <w:tc>
          <w:tcPr>
            <w:tcW w:type="dxa" w:w="130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만 39세 이하</w:t>
            </w:r>
          </w:p>
        </w:tc>
        <w:tc>
          <w:tcPr>
            <w:tcW w:type="dxa" w:w="124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부산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7년 미만</w:t>
            </w:r>
          </w:p>
        </w:tc>
        <w:tc>
          <w:tcPr>
            <w:tcW w:type="dxa" w:w="255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개인 7개사 / 협업 2개팀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신골든 창업 특구</w:t>
              <w:br/>
              <w:t>(경주 황오동)</w:t>
            </w:r>
          </w:p>
        </w:tc>
        <w:tc>
          <w:tcPr>
            <w:tcW w:type="dxa" w:w="130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19~39세</w:t>
            </w:r>
          </w:p>
        </w:tc>
        <w:tc>
          <w:tcPr>
            <w:tcW w:type="dxa" w:w="1247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경주 거주</w:t>
            </w:r>
          </w:p>
        </w:tc>
        <w:tc>
          <w:tcPr>
            <w:tcW w:type="dxa" w:w="147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제한 없음</w:t>
            </w:r>
          </w:p>
        </w:tc>
        <w:tc>
          <w:tcPr>
            <w:tcW w:type="dxa" w:w="255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최대 3,500만원(자부담 20%)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맑은 고딕" w:hAnsi="맑은 고딕" w:eastAsia="맑은 고딕"/>
          <w:b w:val="0"/>
          <w:i w:val="0"/>
          <w:color w:val="4D5F74"/>
          <w:sz w:val="20"/>
        </w:rPr>
        <w:t xml:space="preserve">→ 세로로 읽으면 자기가 </w:t>
      </w:r>
      <w:r>
        <w:rPr>
          <w:rFonts w:ascii="맑은 고딕" w:hAnsi="맑은 고딕" w:eastAsia="맑은 고딕"/>
          <w:b/>
          <w:i w:val="0"/>
          <w:color w:val="4D5F74"/>
          <w:sz w:val="20"/>
        </w:rPr>
        <w:t>오늘 지원 가능한 줄</w:t>
      </w:r>
      <w:r>
        <w:rPr>
          <w:rFonts w:ascii="맑은 고딕" w:hAnsi="맑은 고딕" w:eastAsia="맑은 고딕"/>
          <w:b w:val="0"/>
          <w:i w:val="0"/>
          <w:color w:val="4D5F74"/>
          <w:sz w:val="20"/>
        </w:rPr>
        <w:t xml:space="preserve">이 보이고, 가로로 읽으면 </w:t>
      </w:r>
      <w:r>
        <w:rPr>
          <w:rFonts w:ascii="맑은 고딕" w:hAnsi="맑은 고딕" w:eastAsia="맑은 고딕"/>
          <w:b/>
          <w:i w:val="0"/>
          <w:color w:val="4D5F74"/>
          <w:sz w:val="20"/>
        </w:rPr>
        <w:t>같은 아이템으로 여러 문을 두드릴 수 있다</w:t>
      </w:r>
      <w:r>
        <w:rPr>
          <w:rFonts w:ascii="맑은 고딕" w:hAnsi="맑은 고딕" w:eastAsia="맑은 고딕"/>
          <w:b w:val="0"/>
          <w:i w:val="0"/>
          <w:color w:val="4D5F74"/>
          <w:sz w:val="20"/>
        </w:rPr>
        <w:t>는 것이 보입니다.</w:t>
      </w: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④ 링크 28건 — 읽는 순서가 이미 정해져 있다</w:t>
      </w:r>
    </w:p>
    <w:p>
      <w:pPr>
        <w:spacing w:before="0" w:after="160"/>
      </w:pPr>
      <w:r>
        <w:rPr>
          <w:rFonts w:ascii="맑은 고딕" w:hAnsi="맑은 고딕" w:eastAsia="맑은 고딕"/>
          <w:b w:val="0"/>
          <w:i w:val="0"/>
          <w:sz w:val="21"/>
        </w:rPr>
        <w:t xml:space="preserve">「관련 링크 · 창업 지원 사업」의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Ⓛ 표시 여섯 건은 서로 다른 여섯 사업이 아닙니다.</w:t>
      </w:r>
      <w:r>
        <w:rPr>
          <w:rFonts w:ascii="맑은 고딕" w:hAnsi="맑은 고딕" w:eastAsia="맑은 고딕"/>
          <w:b w:val="0"/>
          <w:i w:val="0"/>
          <w:sz w:val="21"/>
        </w:rPr>
        <w:t xml:space="preserve"> 같은 사업 하나가 문서 층위마다 다른 얼굴로 나온 것입니다. 순서대로 읽으십시오.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794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순서</w:t>
            </w:r>
          </w:p>
        </w:tc>
        <w:tc>
          <w:tcPr>
            <w:tcW w:type="dxa" w:w="2381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문서</w:t>
            </w:r>
          </w:p>
        </w:tc>
        <w:tc>
          <w:tcPr>
            <w:tcW w:type="dxa" w:w="6123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여기에만 있는 것</w:t>
            </w:r>
          </w:p>
        </w:tc>
      </w:tr>
      <w:tr>
        <w:tc>
          <w:tcPr>
            <w:tcW w:type="dxa" w:w="7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1</w:t>
            </w:r>
          </w:p>
        </w:tc>
        <w:tc>
          <w:tcPr>
            <w:tcW w:type="dxa" w:w="238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예고 / 통합공고</w:t>
            </w:r>
          </w:p>
        </w:tc>
        <w:tc>
          <w:tcPr>
            <w:tcW w:type="dxa" w:w="6123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"올해 이런 사업을 한다" — 준비를 시작할 시점</w:t>
            </w:r>
          </w:p>
        </w:tc>
      </w:tr>
      <w:tr>
        <w:tc>
          <w:tcPr>
            <w:tcW w:type="dxa" w:w="7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2</w:t>
            </w:r>
          </w:p>
        </w:tc>
        <w:tc>
          <w:tcPr>
            <w:tcW w:type="dxa" w:w="238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보도자료</w:t>
            </w:r>
          </w:p>
        </w:tc>
        <w:tc>
          <w:tcPr>
            <w:tcW w:type="dxa" w:w="6123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흩어진 숫자가 한 문단에 모임 · 정책의 *의도*가 문장으로</w:t>
            </w:r>
          </w:p>
        </w:tc>
      </w:tr>
      <w:tr>
        <w:tc>
          <w:tcPr>
            <w:tcW w:type="dxa" w:w="7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3</w:t>
            </w:r>
          </w:p>
        </w:tc>
        <w:tc>
          <w:tcPr>
            <w:tcW w:type="dxa" w:w="238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모집공고</w:t>
            </w:r>
          </w:p>
        </w:tc>
        <w:tc>
          <w:tcPr>
            <w:tcW w:type="dxa" w:w="6123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접수 기간과 제출 서류가 확정된 문서</w:t>
            </w:r>
          </w:p>
        </w:tc>
      </w:tr>
      <w:tr>
        <w:tc>
          <w:tcPr>
            <w:tcW w:type="dxa" w:w="7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4</w:t>
            </w:r>
          </w:p>
        </w:tc>
        <w:tc>
          <w:tcPr>
            <w:tcW w:type="dxa" w:w="238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지역판 공고</w:t>
            </w:r>
          </w:p>
        </w:tc>
        <w:tc>
          <w:tcPr>
            <w:tcW w:type="dxa" w:w="6123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같은 개념의 시·도 버전 — 또 하나의 창구</w:t>
            </w:r>
          </w:p>
        </w:tc>
      </w:tr>
      <w:tr>
        <w:tc>
          <w:tcPr>
            <w:tcW w:type="dxa" w:w="7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5</w:t>
            </w:r>
          </w:p>
        </w:tc>
        <w:tc>
          <w:tcPr>
            <w:tcW w:type="dxa" w:w="238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세부관리기준</w:t>
            </w:r>
          </w:p>
        </w:tc>
        <w:tc>
          <w:tcPr>
            <w:tcW w:type="dxa" w:w="6123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평가 기준 · 쓸 수 있는 비용 · 정산과 환수 규정</w:t>
            </w:r>
          </w:p>
        </w:tc>
      </w:tr>
      <w:tr>
        <w:tc>
          <w:tcPr>
            <w:tcW w:type="dxa" w:w="7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6</w:t>
            </w:r>
          </w:p>
        </w:tc>
        <w:tc>
          <w:tcPr>
            <w:tcW w:type="dxa" w:w="2381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공식 블로그</w:t>
            </w:r>
          </w:p>
        </w:tc>
        <w:tc>
          <w:tcPr>
            <w:tcW w:type="dxa" w:w="6123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같은 내용의 카드뉴스 — 진입로이자, 요약이라 빠지는 것이 있음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맑은 고딕" w:hAnsi="맑은 고딕" w:eastAsia="맑은 고딕"/>
          <w:b w:val="0"/>
          <w:i w:val="0"/>
          <w:color w:val="4D5F74"/>
          <w:sz w:val="20"/>
        </w:rPr>
        <w:t xml:space="preserve">문서가 안쪽으로 갈수록 </w:t>
      </w:r>
      <w:r>
        <w:rPr>
          <w:rFonts w:ascii="맑은 고딕" w:hAnsi="맑은 고딕" w:eastAsia="맑은 고딕"/>
          <w:b/>
          <w:i w:val="0"/>
          <w:color w:val="4D5F74"/>
          <w:sz w:val="20"/>
        </w:rPr>
        <w:t>홍보 문구가 사라지고 규정이 남습니다.</w:t>
      </w:r>
      <w:r>
        <w:rPr>
          <w:rFonts w:ascii="맑은 고딕" w:hAnsi="맑은 고딕" w:eastAsia="맑은 고딕"/>
          <w:b w:val="0"/>
          <w:i w:val="0"/>
          <w:color w:val="4D5F74"/>
          <w:sz w:val="20"/>
        </w:rPr>
        <w:t xml:space="preserve"> 공고를 읽는 힘은 이 여섯을 나란히 놓고 비교할 때 붙습니다.</w:t>
      </w: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⑤ 읽고 끝내지 않으려면 — 오늘 할 세 가지</w:t>
      </w:r>
    </w:p>
    <w:p>
      <w:pPr>
        <w:pStyle w:val="ListBullet"/>
        <w:spacing w:after="60" w:line="324" w:lineRule="auto"/>
      </w:pPr>
      <w:r>
        <w:rPr>
          <w:rFonts w:ascii="맑은 고딕" w:hAnsi="맑은 고딕" w:eastAsia="맑은 고딕"/>
          <w:b w:val="0"/>
          <w:i w:val="0"/>
          <w:sz w:val="21"/>
        </w:rPr>
        <w:t xml:space="preserve">☐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투어라즈(touraz.kr)에 계정을 만든다.</w:t>
      </w:r>
      <w:r>
        <w:rPr>
          <w:rFonts w:ascii="맑은 고딕" w:hAnsi="맑은 고딕" w:eastAsia="맑은 고딕"/>
          <w:b w:val="0"/>
          <w:i w:val="0"/>
          <w:sz w:val="21"/>
        </w:rPr>
        <w:t xml:space="preserve"> 예비관광벤처와 경북 공모가 같은 창구를 씁니다. 공고가 뜬 뒤에 준비를 시작하면 대개 늦습니다.</w:t>
      </w:r>
    </w:p>
    <w:p>
      <w:pPr>
        <w:pStyle w:val="ListBullet"/>
        <w:spacing w:after="60" w:line="324" w:lineRule="auto"/>
      </w:pPr>
      <w:r>
        <w:rPr>
          <w:rFonts w:ascii="맑은 고딕" w:hAnsi="맑은 고딕" w:eastAsia="맑은 고딕"/>
          <w:b w:val="0"/>
          <w:i w:val="0"/>
          <w:sz w:val="21"/>
        </w:rPr>
        <w:t xml:space="preserve">☐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내 지역 창구 세 곳을 북마크한다.</w:t>
      </w:r>
      <w:r>
        <w:rPr>
          <w:rFonts w:ascii="맑은 고딕" w:hAnsi="맑은 고딕" w:eastAsia="맑은 고딕"/>
          <w:b w:val="0"/>
          <w:i w:val="0"/>
          <w:sz w:val="21"/>
        </w:rPr>
        <w:t xml:space="preserve"> ① 시청 홈페이지 공지사항 ② 도시재생지원센터 ③ 지역 창업포털. 지역 공모의 상당수는 화려한 포털이 아니라 이런 자리에 조용히 올라옵니다.</w:t>
      </w:r>
    </w:p>
    <w:p>
      <w:pPr>
        <w:pStyle w:val="ListBullet"/>
        <w:spacing w:after="60" w:line="324" w:lineRule="auto"/>
      </w:pPr>
      <w:r>
        <w:rPr>
          <w:rFonts w:ascii="맑은 고딕" w:hAnsi="맑은 고딕" w:eastAsia="맑은 고딕"/>
          <w:b w:val="0"/>
          <w:i w:val="0"/>
          <w:sz w:val="21"/>
        </w:rPr>
        <w:t xml:space="preserve">☐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한 문장짜리 문제 정의를 써서 AI 가상심사위원에게 채점받는다.</w:t>
      </w:r>
      <w:r>
        <w:rPr>
          <w:rFonts w:ascii="맑은 고딕" w:hAnsi="맑은 고딕" w:eastAsia="맑은 고딕"/>
          <w:b w:val="0"/>
          <w:i w:val="0"/>
          <w:sz w:val="21"/>
        </w:rPr>
        <w:t xml:space="preserve"> 02장의 «누구의 / 어떤 / 왜 지금» 세 줄을 쓰고, 「정부지원사업 AI 자동화 키트」의 ④번 파일로 스스로 점수를 매겨 봅니다.</w:t>
      </w:r>
    </w:p>
    <w:p>
      <w:pPr>
        <w:spacing w:before="0"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1F7FD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21"/>
              </w:rPr>
              <w:t>한 줄 요약</w:t>
            </w:r>
          </w:p>
          <w:p>
            <w:pPr>
              <w:spacing w:after="0" w:line="336" w:lineRule="auto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 xml:space="preserve">이 페이지는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20"/>
              </w:rPr>
              <w:t>읽는 자료가 아니라 쓰는 자료</w:t>
            </w: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 xml:space="preserve">입니다. 02~04장(문제 정의 → 비즈니스 모델 → 시장 검증)의 흐름이 그대로 </w:t>
            </w:r>
            <w:r>
              <w:rPr>
                <w:rFonts w:ascii="맑은 고딕" w:hAnsi="맑은 고딕" w:eastAsia="맑은 고딕"/>
                <w:b/>
                <w:i w:val="0"/>
                <w:color w:val="17539B"/>
                <w:sz w:val="20"/>
              </w:rPr>
              <w:t>사업계획서</w:t>
            </w: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가 되고, 그 사업계획서가 뒤쪽 공모들의 평가 대상이 됩니다. 강의를 따라 읽는 일이 곧 지원 준비입니다.</w:t>
            </w:r>
          </w:p>
        </w:tc>
      </w:tr>
    </w:tbl>
    <w:p>
      <w:pPr>
        <w:spacing w:after="0"/>
      </w:pP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⑥ 주의 — 숫자는 회차마다 바뀐다</w:t>
      </w:r>
    </w:p>
    <w:p>
      <w:pPr>
        <w:pStyle w:val="ListBullet"/>
        <w:spacing w:after="60" w:line="324" w:lineRule="auto"/>
      </w:pPr>
      <w:r>
        <w:rPr>
          <w:rFonts w:ascii="맑은 고딕" w:hAnsi="맑은 고딕" w:eastAsia="맑은 고딕"/>
          <w:b/>
          <w:i w:val="0"/>
          <w:color w:val="17539B"/>
          <w:sz w:val="21"/>
        </w:rPr>
        <w:t>금액 · 마감일 · 선정 규모는 특정 회차 기준</w:t>
      </w:r>
      <w:r>
        <w:rPr>
          <w:rFonts w:ascii="맑은 고딕" w:hAnsi="맑은 고딕" w:eastAsia="맑은 고딕"/>
          <w:b w:val="0"/>
          <w:i w:val="0"/>
          <w:sz w:val="21"/>
        </w:rPr>
        <w:t>입니다. 매년 달라집니다.</w:t>
      </w:r>
    </w:p>
    <w:p>
      <w:pPr>
        <w:pStyle w:val="ListBullet"/>
        <w:spacing w:after="60" w:line="324" w:lineRule="auto"/>
      </w:pPr>
      <w:r>
        <w:rPr>
          <w:rFonts w:ascii="맑은 고딕" w:hAnsi="맑은 고딕" w:eastAsia="맑은 고딕"/>
          <w:b/>
          <w:i w:val="0"/>
          <w:color w:val="17539B"/>
          <w:sz w:val="21"/>
        </w:rPr>
        <w:t>사업 이름도 바뀝니다.</w:t>
      </w:r>
      <w:r>
        <w:rPr>
          <w:rFonts w:ascii="맑은 고딕" w:hAnsi="맑은 고딕" w:eastAsia="맑은 고딕"/>
          <w:b w:val="0"/>
          <w:i w:val="0"/>
          <w:sz w:val="21"/>
        </w:rPr>
        <w:t xml:space="preserve"> 로컬크리에이터 육성사업('20~'25)은 강한소상공인 성장지원사업과 합쳐져 2026년부터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「소상공인 도약 지원 사업」</w:t>
      </w:r>
      <w:r>
        <w:rPr>
          <w:rFonts w:ascii="맑은 고딕" w:hAnsi="맑은 고딕" w:eastAsia="맑은 고딕"/>
          <w:b w:val="0"/>
          <w:i w:val="0"/>
          <w:sz w:val="21"/>
        </w:rPr>
        <w:t xml:space="preserve">으로 통합 공고됩니다. 사업명을 외우기보다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공고 창구를 즐겨찾기</w:t>
      </w:r>
      <w:r>
        <w:rPr>
          <w:rFonts w:ascii="맑은 고딕" w:hAnsi="맑은 고딕" w:eastAsia="맑은 고딕"/>
          <w:b w:val="0"/>
          <w:i w:val="0"/>
          <w:sz w:val="21"/>
        </w:rPr>
        <w:t>하는 편이 안전합니다.</w:t>
      </w:r>
    </w:p>
    <w:p>
      <w:pPr>
        <w:pStyle w:val="ListBullet"/>
        <w:spacing w:after="60" w:line="324" w:lineRule="auto"/>
      </w:pPr>
      <w:r>
        <w:rPr>
          <w:rFonts w:ascii="맑은 고딕" w:hAnsi="맑은 고딕" w:eastAsia="맑은 고딕"/>
          <w:b/>
          <w:i w:val="0"/>
          <w:color w:val="17539B"/>
          <w:sz w:val="21"/>
        </w:rPr>
        <w:t>AI가 만든 초안은 초안입니다.</w:t>
      </w:r>
      <w:r>
        <w:rPr>
          <w:rFonts w:ascii="맑은 고딕" w:hAnsi="맑은 고딕" w:eastAsia="맑은 고딕"/>
          <w:b w:val="0"/>
          <w:i w:val="0"/>
          <w:sz w:val="21"/>
        </w:rPr>
        <w:t xml:space="preserve"> 자격 요건 한 줄이 요약에서 빠지는 일이 흔합니다. 지원 직전에는 반드시 </w:t>
      </w:r>
      <w:r>
        <w:rPr>
          <w:rFonts w:ascii="맑은 고딕" w:hAnsi="맑은 고딕" w:eastAsia="맑은 고딕"/>
          <w:b/>
          <w:i w:val="0"/>
          <w:color w:val="17539B"/>
          <w:sz w:val="21"/>
        </w:rPr>
        <w:t>공고 원문과 대조</w:t>
      </w:r>
      <w:r>
        <w:rPr>
          <w:rFonts w:ascii="맑은 고딕" w:hAnsi="맑은 고딕" w:eastAsia="맑은 고딕"/>
          <w:b w:val="0"/>
          <w:i w:val="0"/>
          <w:sz w:val="21"/>
        </w:rPr>
        <w:t>하십시오.</w:t>
      </w:r>
    </w:p>
    <w:p>
      <w:pPr>
        <w:spacing w:before="400" w:after="140"/>
        <w:pBdr>
          <w:bottom w:val="single" w:sz="10" w:space="4" w:color="2563A8"/>
        </w:pBdr>
      </w:pPr>
      <w:r>
        <w:rPr>
          <w:rFonts w:ascii="맑은 고딕" w:hAnsi="맑은 고딕" w:eastAsia="맑은 고딕"/>
          <w:b/>
          <w:color w:val="17539B"/>
          <w:sz w:val="28"/>
        </w:rPr>
        <w:t>부록 · 공고가 올라오는 창구 (즐겨찾기 목록)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2268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창구</w:t>
            </w:r>
          </w:p>
        </w:tc>
        <w:tc>
          <w:tcPr>
            <w:tcW w:type="dxa" w:w="2494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주소</w:t>
            </w:r>
          </w:p>
        </w:tc>
        <w:tc>
          <w:tcPr>
            <w:tcW w:type="dxa" w:w="4649"/>
            <w:shd w:val="clear" w:fill="E8F1FB"/>
          </w:tcPr>
          <w:p>
            <w:pPr>
              <w:spacing w:after="40" w:line="288" w:lineRule="auto"/>
            </w:pPr>
            <w:r/>
            <w:r>
              <w:rPr>
                <w:rFonts w:ascii="맑은 고딕" w:hAnsi="맑은 고딕" w:eastAsia="맑은 고딕"/>
                <w:b/>
                <w:i w:val="0"/>
                <w:color w:val="17539B"/>
                <w:sz w:val="19"/>
              </w:rPr>
              <w:t>여기서 볼 것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투어라즈 (TOURAZ)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touraz.kr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관광벤처 · 지역 관광 스타트업 공모 접수·심사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한국관광콘텐츠랩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api.visitkorea.or.kr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TourAPI 데이터 + 관광데이터 활용 공모전 접수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기업마당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bizinfo.go.kr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부처·지자체 지원사업 통합 — 공고 검색 연습장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소상공인24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sbiz24.kr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로컬크리에이터 계열(소상공인 도약 지원) 접수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모모365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momo365.net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문화·관광 공모/공모전/입찰/채용 통합 + 공고달력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IRIS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iris.go.kr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정부 R&amp;D 과제 — 부처 막론하고 이곳으로 모임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PRISM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prism.go.kr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정책연구용역 원문 — 정부가 무엇을 문제로 보는가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부산창업포털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busanstartup.kr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부산 청년 로컬크리에이터 · 창업 교육</w:t>
            </w:r>
          </w:p>
        </w:tc>
      </w:tr>
      <w:tr>
        <w:tc>
          <w:tcPr>
            <w:tcW w:type="dxa" w:w="2268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경북관광기업지원센터</w:t>
            </w:r>
          </w:p>
        </w:tc>
        <w:tc>
          <w:tcPr>
            <w:tcW w:type="dxa" w:w="2494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tourbiz.gtc.co.kr</w:t>
            </w:r>
          </w:p>
        </w:tc>
        <w:tc>
          <w:tcPr>
            <w:tcW w:type="dxa" w:w="4649"/>
          </w:tcPr>
          <w:p>
            <w:pPr>
              <w:spacing w:after="40" w:line="300" w:lineRule="auto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경북 관광 스타트업 · 협업프로젝트 공모</w:t>
            </w:r>
          </w:p>
        </w:tc>
      </w:tr>
    </w:tbl>
    <w:p>
      <w:pPr>
        <w:spacing w:after="0"/>
      </w:pPr>
    </w:p>
    <w:p>
      <w:pPr>
        <w:spacing w:before="0" w:after="120"/>
      </w:pPr>
    </w:p>
    <w:p>
      <w:pPr>
        <w:spacing w:before="0" w:after="120"/>
        <w:jc w:val="center"/>
      </w:pPr>
      <w:r>
        <w:rPr>
          <w:rFonts w:ascii="맑은 고딕" w:hAnsi="맑은 고딕" w:eastAsia="맑은 고딕"/>
          <w:b w:val="0"/>
          <w:i w:val="0"/>
          <w:color w:val="4D5F74"/>
          <w:sz w:val="18"/>
        </w:rPr>
        <w:t>선샤인 웰니스 교육자료 · 모듈 03 관광벤처창업론 부속 안내서 · 2026-08-14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48" w:lineRule="auto"/>
    </w:pPr>
    <w:rPr>
      <w:rFonts w:ascii="맑은 고딕" w:hAnsi="맑은 고딕" w:eastAsia="맑은 고딕" w:cs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 w:cs="맑은 고딕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 w:cs="맑은 고딕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 w:cs="맑은 고딕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 w:cs="맑은 고딕"/>
      <w:color w:val="17365D" w:themeColor="text2" w:themeShade="B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 w:cs="맑은 고딕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 w:cs="맑은 고딕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 w:cs="맑은 고딕"/>
      <w:b/>
      <w:bCs/>
      <w:color w:val="4F81BD" w:themeColor="accent1"/>
      <w:sz w:val="2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