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24" w:lineRule="auto"/>
      </w:pPr>
      <w:r>
        <w:rPr>
          <w:rFonts w:ascii="맑은 고딕" w:hAnsi="맑은 고딕" w:eastAsia="맑은 고딕"/>
          <w:b/>
          <w:color w:val="8A5814"/>
          <w:sz w:val="17"/>
        </w:rPr>
        <w:t>Module 01 · 강의계획서 SYLLABUS</w:t>
      </w:r>
    </w:p>
    <w:p>
      <w:pPr>
        <w:spacing w:before="0" w:after="80" w:line="324" w:lineRule="auto"/>
      </w:pPr>
      <w:r>
        <w:rPr>
          <w:rFonts w:ascii="맑은 고딕" w:hAnsi="맑은 고딕" w:eastAsia="맑은 고딕"/>
          <w:b/>
          <w:color w:val="2F5349"/>
          <w:sz w:val="40"/>
        </w:rPr>
        <w:t>스마트 투어리즘 — 기술이 바꾸는 여행</w:t>
      </w:r>
    </w:p>
    <w:p>
      <w:pPr>
        <w:spacing w:before="0" w:after="200" w:line="324" w:lineRule="auto"/>
      </w:pPr>
      <w:r>
        <w:rPr>
          <w:rFonts w:ascii="맑은 고딕" w:hAnsi="맑은 고딕" w:eastAsia="맑은 고딕"/>
          <w:b w:val="0"/>
          <w:color w:val="55605B"/>
          <w:sz w:val="20"/>
        </w:rPr>
        <w:t>지도를 펼치던 여행은 검색창을 여는 여행으로 바뀌었습니다. 15주 동안 국내 현장을 보고 → 유럽과 견주고 → 유럽 도시를 벤치마킹해 발표하고 → 그것을 리포트·기획서의 근거로 바꾸는 순서로 진행합니다.</w:t>
      </w:r>
    </w:p>
    <w:p>
      <w:pPr>
        <w:spacing w:before="8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강의 개요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교과목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스마트 투어리즘 (교육자료 모듈 01)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대상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2학년 2학기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주차 / 시수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15주 · 주 3시간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수업방식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강의 + 사례분석 + 발표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기자재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노트북·스마트폰 (웹 브라우저)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교재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「스마트관광」 제2판 (구철모·정남호, 백산출판사) + 온라인 자료</w:t>
            </w:r>
          </w:p>
        </w:tc>
      </w:tr>
      <w:tr>
        <w:tc>
          <w:tcPr>
            <w:tcW w:type="dxa" w:w="215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자료 출처</w:t>
            </w:r>
          </w:p>
        </w:tc>
        <w:tc>
          <w:tcPr>
            <w:tcW w:type="dxa" w:w="782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sunshinewellness.co.kr/learn/smart-tourism.html</w:t>
            </w:r>
          </w:p>
        </w:tc>
      </w:tr>
    </w:tbl>
    <w:p>
      <w:pPr>
        <w:spacing w:before="32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교과목표</w:t>
      </w:r>
    </w:p>
    <w:p>
      <w:pPr>
        <w:spacing w:before="20" w:after="60"/>
        <w:ind w:left="170"/>
      </w:pPr>
      <w:r>
        <w:rPr>
          <w:rFonts w:ascii="맑은 고딕" w:hAnsi="맑은 고딕" w:eastAsia="맑은 고딕"/>
          <w:sz w:val="21"/>
        </w:rPr>
        <w:t>① 스마트 관광의 개념과 주요 영역으로 현상을 설명할 수 있다.</w:t>
      </w:r>
      <w:r>
        <w:rPr>
          <w:rFonts w:ascii="맑은 고딕" w:hAnsi="맑은 고딕" w:eastAsia="맑은 고딕"/>
          <w:color w:val="8A5814"/>
          <w:sz w:val="17"/>
        </w:rPr>
        <w:t xml:space="preserve">   1–4주 · 9주</w:t>
      </w:r>
    </w:p>
    <w:p>
      <w:pPr>
        <w:spacing w:before="20" w:after="60"/>
        <w:ind w:left="170"/>
      </w:pPr>
      <w:r>
        <w:rPr>
          <w:rFonts w:ascii="맑은 고딕" w:hAnsi="맑은 고딕" w:eastAsia="맑은 고딕"/>
          <w:sz w:val="21"/>
        </w:rPr>
        <w:t>② 국내외 도시 사례를 비교·대조하여 벤치마킹할 수 있다.</w:t>
      </w:r>
      <w:r>
        <w:rPr>
          <w:rFonts w:ascii="맑은 고딕" w:hAnsi="맑은 고딕" w:eastAsia="맑은 고딕"/>
          <w:color w:val="8A5814"/>
          <w:sz w:val="17"/>
        </w:rPr>
        <w:t xml:space="preserve">   3–14주</w:t>
      </w:r>
    </w:p>
    <w:p>
      <w:pPr>
        <w:spacing w:before="20" w:after="60"/>
        <w:ind w:left="170"/>
      </w:pPr>
      <w:r>
        <w:rPr>
          <w:rFonts w:ascii="맑은 고딕" w:hAnsi="맑은 고딕" w:eastAsia="맑은 고딕"/>
          <w:sz w:val="21"/>
        </w:rPr>
        <w:t>③ 사례와 이론을 리포트·기획서의 근거로 쓸 수 있다.</w:t>
      </w:r>
      <w:r>
        <w:rPr>
          <w:rFonts w:ascii="맑은 고딕" w:hAnsi="맑은 고딕" w:eastAsia="맑은 고딕"/>
          <w:color w:val="8A5814"/>
          <w:sz w:val="17"/>
        </w:rPr>
        <w:t xml:space="preserve">   13–15주</w:t>
      </w:r>
    </w:p>
    <w:p>
      <w:pPr>
        <w:spacing w:before="32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학기 구조 — 네 단계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737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단계</w:t>
            </w:r>
          </w:p>
        </w:tc>
        <w:tc>
          <w:tcPr>
            <w:tcW w:type="dxa" w:w="113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주차</w:t>
            </w:r>
          </w:p>
        </w:tc>
        <w:tc>
          <w:tcPr>
            <w:tcW w:type="dxa" w:w="1587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이름</w:t>
            </w:r>
          </w:p>
        </w:tc>
        <w:tc>
          <w:tcPr>
            <w:tcW w:type="dxa" w:w="6520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내용</w:t>
            </w:r>
          </w:p>
        </w:tc>
      </w:tr>
      <w:tr>
        <w:tc>
          <w:tcPr>
            <w:tcW w:type="dxa" w:w="73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Ⅰ</w:t>
            </w:r>
          </w:p>
        </w:tc>
        <w:tc>
          <w:tcPr>
            <w:tcW w:type="dxa" w:w="113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1–4주</w:t>
            </w:r>
          </w:p>
        </w:tc>
        <w:tc>
          <w:tcPr>
            <w:tcW w:type="dxa" w:w="158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현장을 본다</w:t>
            </w:r>
          </w:p>
        </w:tc>
        <w:tc>
          <w:tcPr>
            <w:tcW w:type="dxa" w:w="6520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개념 정의와 국내 스마트관광도시 12곳. 용인을 끝까지 따라간다.</w:t>
            </w:r>
          </w:p>
        </w:tc>
      </w:tr>
      <w:tr>
        <w:tc>
          <w:tcPr>
            <w:tcW w:type="dxa" w:w="73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Ⅱ</w:t>
            </w:r>
          </w:p>
        </w:tc>
        <w:tc>
          <w:tcPr>
            <w:tcW w:type="dxa" w:w="113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5–8주</w:t>
            </w:r>
          </w:p>
        </w:tc>
        <w:tc>
          <w:tcPr>
            <w:tcW w:type="dxa" w:w="158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견준다</w:t>
            </w:r>
          </w:p>
        </w:tc>
        <w:tc>
          <w:tcPr>
            <w:tcW w:type="dxa" w:w="6520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유럽 스마트관광 수도 공모와 사례집. 한국과 나란히 놓는다.</w:t>
            </w:r>
          </w:p>
        </w:tc>
      </w:tr>
      <w:tr>
        <w:tc>
          <w:tcPr>
            <w:tcW w:type="dxa" w:w="73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Ⅲ</w:t>
            </w:r>
          </w:p>
        </w:tc>
        <w:tc>
          <w:tcPr>
            <w:tcW w:type="dxa" w:w="113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9–12주</w:t>
            </w:r>
          </w:p>
        </w:tc>
        <w:tc>
          <w:tcPr>
            <w:tcW w:type="dxa" w:w="158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벤치마킹한다</w:t>
            </w:r>
          </w:p>
        </w:tc>
        <w:tc>
          <w:tcPr>
            <w:tcW w:type="dxa" w:w="6520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유럽 수상 도시를 팀별로 맡아 다섯 칸 틀로 발표한다. 한국에 옮기면 무엇이 남는지까지.</w:t>
            </w:r>
          </w:p>
        </w:tc>
      </w:tr>
      <w:tr>
        <w:tc>
          <w:tcPr>
            <w:tcW w:type="dxa" w:w="73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Ⅳ</w:t>
            </w:r>
          </w:p>
        </w:tc>
        <w:tc>
          <w:tcPr>
            <w:tcW w:type="dxa" w:w="113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13–15주</w:t>
            </w:r>
          </w:p>
        </w:tc>
        <w:tc>
          <w:tcPr>
            <w:tcW w:type="dxa" w:w="158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근거로 쓴다</w:t>
            </w:r>
          </w:p>
        </w:tc>
        <w:tc>
          <w:tcPr>
            <w:tcW w:type="dxa" w:w="6520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최종후보 도시 발표를 마치고, 논문·통계로 뒷받침해 기획서로 완성하고 발표한다.</w:t>
            </w:r>
          </w:p>
        </w:tc>
      </w:tr>
    </w:tbl>
    <w:p>
      <w:pPr>
        <w:spacing w:before="32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주차별 교수·학습 계획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62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주차</w:t>
            </w:r>
          </w:p>
        </w:tc>
        <w:tc>
          <w:tcPr>
            <w:tcW w:type="dxa" w:w="2098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주제</w:t>
            </w:r>
          </w:p>
        </w:tc>
        <w:tc>
          <w:tcPr>
            <w:tcW w:type="dxa" w:w="3515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학습 내용</w:t>
            </w:r>
          </w:p>
        </w:tc>
        <w:tc>
          <w:tcPr>
            <w:tcW w:type="dxa" w:w="1644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사용 자료</w:t>
            </w:r>
          </w:p>
        </w:tc>
        <w:tc>
          <w:tcPr>
            <w:tcW w:type="dxa" w:w="2098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학생 활동 · 과제</w:t>
            </w:r>
          </w:p>
        </w:tc>
      </w:tr>
      <w:tr>
        <w:tc>
          <w:tcPr>
            <w:tcW w:type="dxa" w:w="2098"/>
            <w:gridSpan w:val="5"/>
            <w:shd w:val="clear" w:color="auto" w:fill="E8EFEB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Ⅰ. 현장을 본다  ·  1–4주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오리엔테이션과 개념 정의</w:t>
              <w:br/>
              <w:t>— 스마트 관광이란 무엇인가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강의 운영·평가 안내. 전자관광(e-Tourism)과 스마트 관광의 차이 — 온라인 예약에서 실시간 반응으로. 흔한 오개념을 먼저 깨고 시작한다.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06</w:t>
              <w:br/>
              <w:t>슬라이드 01「정의」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스마트관광도시 12곳 중 한 곳 직접 눌러보기 · 한 줄 메모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2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네 기둥과 스마트 관광 기술</w:t>
              <w:br/>
              <w:t>— 개념의 뼈대 세우기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목적지·경험·비즈니스·거버넌스의 네 기둥. 이를 떠받치는 기술군(모바일·IoT·빅데이터·AI·AR/VR)을 기술 목록이 아니라 데이터의 흐름으로 설명한다.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06 슬라이드 02·03</w:t>
              <w:br/>
              <w:t>교재 1–3장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교재 1장 스마트 도시·스마트 관광·스마트 관광 도시 개념 구분 정리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3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국내 스마트관광도시 12곳</w:t>
              <w:br/>
              <w:t>— 같은 사업, 다른 얼굴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울산·인천·수원·양양·경주·대구·여수·청주·남원·통영·인제·용인. 네 기둥이 실제로는 AR 체험·할인쿠폰·맞춤코스·편의기능 네 서비스로 나타남을 확인한다.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01 공식 플랫폼</w:t>
              <w:br/>
              <w:t>국내 스마트관광도시 지도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도시 1곳 배정 — 브랜드명·대표 서비스·강조점 조사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4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심층 사례 용인</w:t>
              <w:br/>
              <w:t>— 한 도시를 끝까지 따라가기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플랫폼(공사 소개·시 포털)·연구(시정연구원 인포그래픽·Y-Wellness 보고서)·홍보(조아용TV·언론보도) 세 갈래를 한 번에. 무엇을 만들었고, 무엇을 근거로 삼았고, 어떻게 알렸는가.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01</w:t>
              <w:br/>
              <w:t>용인 참고 웹사이트 6종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1 제출</w:t>
              <w:br/>
              <w:t>배정 도시 1곳「도시 카드」A4 1장 — 세 갈래 구조로</w:t>
            </w:r>
          </w:p>
        </w:tc>
      </w:tr>
      <w:tr>
        <w:tc>
          <w:tcPr>
            <w:tcW w:type="dxa" w:w="2098"/>
            <w:gridSpan w:val="5"/>
            <w:shd w:val="clear" w:color="auto" w:fill="E8EFEB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Ⅱ. 견준다  ·  5–8주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5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유럽 스마트관광 수도</w:t>
              <w:br/>
              <w:t>— 공모라는 형식이 말하는 것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EU가 해마다 뽑는 European Capital of Smart Tourism. 심사 4대 영역 — 접근성·지속가능성·디지털화·문화유산과 창의성. 디지털화는 넷 중 하나일 뿐이라는 점이 이 주의 핵심.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 / 핵심 영상 16초</w:t>
              <w:br/>
              <w:t>역대 수상 도시 2019–2026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역대 수상 도시 훑기 — 반복되는 유형 찾기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6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보르도 · 발렌시아 심층</w:t>
              <w:br/>
              <w:t>— 규모가 아니라 관리 방식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2022년 수상 두 도시를 같은 네 축으로 해부. 한국관광공사 파리지사 심화보고서가 짚은 시사점 셋 — 무장애 접근성, 전통 농업문화의 지역경제화, 맞춤형 앱과 ICT 융합.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</w:t>
              <w:br/>
              <w:t>심화보고서 한국어 8쪽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“왜 기술이 아니라 접근성이 1번 부문인가” 조별 토론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7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유럽 사례집 읽기</w:t>
              <w:br/>
              <w:t>— 89쪽을 4영역 44사례로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저소득층 접근성, 무장애 산책로·해변, 관광 흐름 분산(피렌체는 기술로·포르투는 도시계획으로), 관광세, 알리페이 도입. 홍보물이 아니라 심사를 통과하려고 쓴 문서라는 점이 이 자료의 무게다.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 마인드맵·표</w:t>
              <w:br/>
              <w:t>인터랙티브 지도 29개 도시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사례 1건 선택 → 한국 어느 지역에 어떻게 적용할지 반쪽 분량</w:t>
            </w:r>
          </w:p>
        </w:tc>
      </w:tr>
      <w:tr>
        <w:tc>
          <w:tcPr>
            <w:tcW w:type="dxa" w:w="624"/>
            <w:shd w:val="clear" w:color="auto" w:fill="FAEDE6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A8431B"/>
                <w:sz w:val="22"/>
              </w:rPr>
              <w:t>8</w:t>
            </w:r>
          </w:p>
        </w:tc>
        <w:tc>
          <w:tcPr>
            <w:tcW w:type="dxa" w:w="2098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A8431B"/>
                <w:sz w:val="18"/>
              </w:rPr>
              <w:t>◆ 중간평가</w:t>
              <w:br/>
              <w:t>한국 ↔ 유럽 비교 발표</w:t>
            </w:r>
          </w:p>
        </w:tc>
        <w:tc>
          <w:tcPr>
            <w:tcW w:type="dxa" w:w="3515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조별 발표(조당 8분). 같은 이름의 사업을 두 대륙이 어떻게 다르게 정의하는지, 4주차 도시 카드와 5–7주 유럽 자료를 맞붙여 논증한다. 질의응답 포함.</w:t>
            </w:r>
          </w:p>
        </w:tc>
        <w:tc>
          <w:tcPr>
            <w:tcW w:type="dxa" w:w="1644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01 · 02</w:t>
            </w:r>
          </w:p>
        </w:tc>
        <w:tc>
          <w:tcPr>
            <w:tcW w:type="dxa" w:w="2098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중간 리포트 제출</w:t>
              <w:br/>
              <w:t>비교 리포트 3–4쪽 + 발표 슬라이드</w:t>
            </w:r>
          </w:p>
        </w:tc>
      </w:tr>
      <w:tr>
        <w:tc>
          <w:tcPr>
            <w:tcW w:type="dxa" w:w="2098"/>
            <w:gridSpan w:val="5"/>
            <w:shd w:val="clear" w:color="auto" w:fill="E8EFEB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Ⅲ. 벤치마킹한다  ·  9–12주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9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여행자 여정과 해외 사례 발표 틀</w:t>
              <w:br/>
              <w:t>— 국내 틀을 유럽에 대 본다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여행 전–중–후 여정의 각 지점을 어떤 기술이 손보는가. 앞서 본 44개 사례가 여정의 어느 지점에 붙는지 겹쳐 읽는다. 이어서 발표 틀 다섯 칸 — 관광 문제 · 기술·서비스 · 관광객·도시 효과 · 4대 영역 · 한국 적용 가능성을 안내한다.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06 슬라이드 04·05</w:t>
              <w:br/>
              <w:t>파트 02 발표 정리 양식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팀별 담당 도시 확인 · 사례집에서 도시 원문 찾기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10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해외 사례 발표 ①  스마트관광 수도 수상도시</w:t>
              <w:br/>
              <w:t>— 무엇을 안고 있었나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팀별 발표(조당 8분 + 질의). 수상 도시가 안고 있던 관광 문제에서 출발해, 무엇으로 손댔고 무엇이 달라졌는지를 잇는다. 도시 소개로 흐르면 그 자리에서 「그래서 문제가 무엇이었나」로 되돌린다.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</w:t>
              <w:br/>
              <w:t>사례집 원문 89쪽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3 발표</w:t>
              <w:br/>
              <w:t>수상도시 담당 팀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11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해외 사례 발표 ②  스마트관광 수도 수상도시</w:t>
              <w:br/>
              <w:t>— 4대 영역 중 어디에 걸리나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같은 틀로 이어서 발표. 접근성 · 지속가능성 · 디지털화 · 문화유산과 창의성 중 어디에 걸리는지를 도시끼리 견준다. 디지털화만으로 설명되는 도시는 드물다는 점을 확인한다.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</w:t>
              <w:br/>
              <w:t>역대 수상 도시 2019–2026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3 발표</w:t>
              <w:br/>
              <w:t>수상도시 담당 팀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12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해외 사례 발표 ③  Green Pioneer 수상도시</w:t>
              <w:br/>
              <w:t>— 작은 도시는 어떻게 했나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규모가 작은 도시의 발표. 큰 예산 없이 지속가능성과 문화유산을 어떻게 관리했는지 본다. 경북 · 안동처럼 작은 지역에 옮기기 쉬운 것이 오히려 여기서 나온다.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</w:t>
              <w:br/>
              <w:t>Green Pioneer 사례집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3 발표</w:t>
              <w:br/>
              <w:t>Green Pioneer 담당 팀</w:t>
            </w:r>
          </w:p>
        </w:tc>
      </w:tr>
      <w:tr>
        <w:tc>
          <w:tcPr>
            <w:tcW w:type="dxa" w:w="2098"/>
            <w:gridSpan w:val="5"/>
            <w:shd w:val="clear" w:color="auto" w:fill="E8EFEB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19"/>
              </w:rPr>
              <w:t>Ⅳ. 근거로 쓴다  ·  13–15주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13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최종후보 발표와 연구로 뒷받침하기</w:t>
              <w:br/>
              <w:t>— 주장에 근거를 붙인다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최종후보 도시 발표 — 왜 수상하지 못했는지까지 짚는다. 이어 Gursoy 외(2024) 스마트 목적지 개념 모형 — 성공 촉진 요인 → 스마트 관광 영역 → 관광지 성과의 3단계로 자기 발표의 관점을 점검한다.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02 최종후보</w:t>
              <w:br/>
              <w:t>파트 07 Gursoy 외(2024)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3 발표(최종후보) · 자기 발표에 붙일 이론 1개 선택</w:t>
            </w:r>
          </w:p>
        </w:tc>
      </w:tr>
      <w:tr>
        <w:tc>
          <w:tcPr>
            <w:tcW w:type="dxa" w:w="624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2"/>
              </w:rPr>
              <w:t>14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최종후보 발표와 산출물 다듬기</w:t>
              <w:br/>
              <w:t>— 기획서의 형식을 갖춘다</w:t>
            </w:r>
          </w:p>
        </w:tc>
        <w:tc>
          <w:tcPr>
            <w:tcW w:type="dxa" w:w="3515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남은 최종후보 발표. 한국관광 데이터랩 게시판, KCTI 국제관광동향(통계 인용 표기 연습). 발표에서 나온 「한국 적용 가능성」을 기획서 또는 공모 응모 원고 형식으로 전환한다 — 문제 정의·근거·제안·기대효과.</w:t>
            </w:r>
          </w:p>
        </w:tc>
        <w:tc>
          <w:tcPr>
            <w:tcW w:type="dxa" w:w="1644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파트 08 국내 자료실</w:t>
              <w:br/>
              <w:t>파트 03 공모전</w:t>
            </w:r>
          </w:p>
        </w:tc>
        <w:tc>
          <w:tcPr>
            <w:tcW w:type="dxa" w:w="2098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과제 3 발표(최종후보) · 최종 산출물 초안 · 개별 피드백</w:t>
            </w:r>
          </w:p>
        </w:tc>
      </w:tr>
      <w:tr>
        <w:tc>
          <w:tcPr>
            <w:tcW w:type="dxa" w:w="624"/>
            <w:shd w:val="clear" w:color="auto" w:fill="FAEDE6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A8431B"/>
                <w:sz w:val="22"/>
              </w:rPr>
              <w:t>15</w:t>
            </w:r>
          </w:p>
        </w:tc>
        <w:tc>
          <w:tcPr>
            <w:tcW w:type="dxa" w:w="2098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A8431B"/>
                <w:sz w:val="18"/>
              </w:rPr>
              <w:t>◆ 기말 발표와 종합</w:t>
              <w:br/>
              <w:t>— 해외 사례를 한 장으로 모은다</w:t>
            </w:r>
          </w:p>
        </w:tc>
        <w:tc>
          <w:tcPr>
            <w:tcW w:type="dxa" w:w="3515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7"/>
              </w:rPr>
              <w:t>해외 사례 발표 전체를 종합하고, 개인 또는 조별 최종 발표(10분 + 질의 3분). 실제 공모전이 서류 심사 후 발표로 확정하는 구조와 같게 운영한다. 총평에서 학기 전체를 네 단계로 되짚는다.</w:t>
            </w:r>
          </w:p>
        </w:tc>
        <w:tc>
          <w:tcPr>
            <w:tcW w:type="dxa" w:w="1644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6"/>
              </w:rPr>
              <w:t>전체</w:t>
            </w:r>
          </w:p>
        </w:tc>
        <w:tc>
          <w:tcPr>
            <w:tcW w:type="dxa" w:w="2098"/>
            <w:shd w:val="clear" w:color="auto" w:fill="FAEDE6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sz w:val="17"/>
              </w:rPr>
              <w:t>★ 기말 산출물 제출</w:t>
              <w:br/>
              <w:t>기획서 5–6쪽 + 발표</w:t>
            </w:r>
          </w:p>
        </w:tc>
      </w:tr>
    </w:tbl>
    <w:p>
      <w:pPr>
        <w:spacing w:before="120" w:after="80" w:line="324" w:lineRule="auto"/>
      </w:pPr>
      <w:r>
        <w:rPr>
          <w:rFonts w:ascii="맑은 고딕" w:hAnsi="맑은 고딕" w:eastAsia="맑은 고딕"/>
          <w:b w:val="0"/>
          <w:color w:val="55605B"/>
          <w:sz w:val="17"/>
        </w:rPr>
        <w:t>※ 8주·15주를 평가 주간으로 두었습니다. 지필시험으로 운영할 경우 8주는 개념·용어 시험(파트 05·06 범위)으로 대체하고 비교 리포트를 9주로 옮기면 됩니다.</w:t>
      </w:r>
    </w:p>
    <w:p>
      <w:r>
        <w:br w:type="page"/>
      </w:r>
    </w:p>
    <w:p>
      <w:pPr>
        <w:spacing w:before="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평가 방법 (100점)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4762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평가 항목</w:t>
            </w:r>
          </w:p>
        </w:tc>
        <w:tc>
          <w:tcPr>
            <w:tcW w:type="dxa" w:w="1247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비중</w:t>
            </w:r>
          </w:p>
        </w:tc>
        <w:tc>
          <w:tcPr>
            <w:tcW w:type="dxa" w:w="3969"/>
            <w:shd w:val="clear" w:color="auto" w:fill="F3EFE7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color w:val="55605B"/>
                <w:sz w:val="17"/>
              </w:rPr>
              <w:t>시기</w:t>
            </w:r>
          </w:p>
        </w:tc>
      </w:tr>
      <w:tr>
        <w:tc>
          <w:tcPr>
            <w:tcW w:type="dxa" w:w="4762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출석·참여</w:t>
            </w:r>
          </w:p>
        </w:tc>
        <w:tc>
          <w:tcPr>
            <w:tcW w:type="dxa" w:w="124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0"/>
              </w:rPr>
              <w:t>10%</w:t>
            </w:r>
          </w:p>
        </w:tc>
        <w:tc>
          <w:tcPr>
            <w:tcW w:type="dxa" w:w="3969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8"/>
              </w:rPr>
              <w:t>전 주차 · 토론 기여</w:t>
            </w:r>
          </w:p>
        </w:tc>
      </w:tr>
      <w:tr>
        <w:tc>
          <w:tcPr>
            <w:tcW w:type="dxa" w:w="4762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과제 1 · 도시 카드</w:t>
            </w:r>
          </w:p>
        </w:tc>
        <w:tc>
          <w:tcPr>
            <w:tcW w:type="dxa" w:w="124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0"/>
              </w:rPr>
              <w:t>15%</w:t>
            </w:r>
          </w:p>
        </w:tc>
        <w:tc>
          <w:tcPr>
            <w:tcW w:type="dxa" w:w="3969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8"/>
              </w:rPr>
              <w:t>4주 제출</w:t>
            </w:r>
          </w:p>
        </w:tc>
      </w:tr>
      <w:tr>
        <w:tc>
          <w:tcPr>
            <w:tcW w:type="dxa" w:w="4762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중간 · 비교 리포트와 발표</w:t>
            </w:r>
          </w:p>
        </w:tc>
        <w:tc>
          <w:tcPr>
            <w:tcW w:type="dxa" w:w="124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0"/>
              </w:rPr>
              <w:t>25%</w:t>
            </w:r>
          </w:p>
        </w:tc>
        <w:tc>
          <w:tcPr>
            <w:tcW w:type="dxa" w:w="3969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8"/>
              </w:rPr>
              <w:t>8주</w:t>
            </w:r>
          </w:p>
        </w:tc>
      </w:tr>
      <w:tr>
        <w:tc>
          <w:tcPr>
            <w:tcW w:type="dxa" w:w="4762"/>
          </w:tcPr>
          <w:p>
            <w:pPr>
              <w:spacing w:before="20" w:after="0" w:line="276" w:lineRule="auto"/>
            </w:pPr>
            <w:r>
              <w:t>과제 3 · 해외 사례 발표</w:t>
            </w:r>
            <w:r>
              <w:rPr>
                <w:rFonts w:ascii="맑은 고딕" w:hAnsi="맑은 고딕" w:eastAsia="맑은 고딕"/>
                <w:b/>
                <w:sz w:val="19"/>
              </w:rPr>
            </w:r>
          </w:p>
        </w:tc>
        <w:tc>
          <w:tcPr>
            <w:tcW w:type="dxa" w:w="124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0"/>
              </w:rPr>
              <w:t>25%</w:t>
            </w:r>
          </w:p>
        </w:tc>
        <w:tc>
          <w:tcPr>
            <w:tcW w:type="dxa" w:w="3969"/>
          </w:tcPr>
          <w:p>
            <w:pPr>
              <w:spacing w:before="20" w:after="0" w:line="276" w:lineRule="auto"/>
            </w:pPr>
            <w:r>
              <w:t>9~15주 · 유럽 도시 벤치마킹</w:t>
            </w:r>
            <w:r>
              <w:rPr>
                <w:rFonts w:ascii="맑은 고딕" w:hAnsi="맑은 고딕" w:eastAsia="맑은 고딕"/>
                <w:b w:val="0"/>
                <w:color w:val="55605B"/>
                <w:sz w:val="18"/>
              </w:rPr>
            </w:r>
          </w:p>
        </w:tc>
      </w:tr>
      <w:tr>
        <w:tc>
          <w:tcPr>
            <w:tcW w:type="dxa" w:w="4762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기말 · 기획서와 발표</w:t>
            </w:r>
          </w:p>
        </w:tc>
        <w:tc>
          <w:tcPr>
            <w:tcW w:type="dxa" w:w="1247"/>
          </w:tcPr>
          <w:p>
            <w:pPr>
              <w:spacing w:before="2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b/>
                <w:color w:val="2F5349"/>
                <w:sz w:val="20"/>
              </w:rPr>
              <w:t>25%</w:t>
            </w:r>
          </w:p>
        </w:tc>
        <w:tc>
          <w:tcPr>
            <w:tcW w:type="dxa" w:w="3969"/>
          </w:tcPr>
          <w:p>
            <w:pPr>
              <w:spacing w:before="20" w:after="0" w:line="276" w:lineRule="auto"/>
            </w:pPr>
            <w:r/>
            <w:r>
              <w:rPr>
                <w:rFonts w:ascii="맑은 고딕" w:hAnsi="맑은 고딕" w:eastAsia="맑은 고딕"/>
                <w:b w:val="0"/>
                <w:color w:val="55605B"/>
                <w:sz w:val="18"/>
              </w:rPr>
              <w:t>15주</w:t>
            </w:r>
          </w:p>
        </w:tc>
      </w:tr>
    </w:tbl>
    <w:p>
      <w:pPr>
        <w:spacing w:before="32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해외 사례 발표 채점 기준</w:t>
      </w:r>
    </w:p>
    <w:p>
      <w:pPr>
        <w:spacing w:before="0" w:after="120" w:line="324" w:lineRule="auto"/>
      </w:pPr>
      <w:r>
        <w:rPr>
          <w:rFonts w:ascii="맑은 고딕" w:hAnsi="맑은 고딕" w:eastAsia="맑은 고딕"/>
          <w:b w:val="0"/>
          <w:color w:val="55605B"/>
          <w:sz w:val="19"/>
        </w:rPr>
        <w:t>도시를 얼마나 많이 소개했는지는 보지 않습니다.</w:t>
      </w:r>
    </w:p>
    <w:p>
      <w:pPr>
        <w:spacing w:before="8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1. 관광 문제에서 출발했는가</w:t>
      </w:r>
    </w:p>
    <w:p>
      <w:pPr>
        <w:spacing w:before="0" w:after="6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도시 소개가 아니라 문제 해결의 이야기인가. 그 도시가 무엇을 안고 있었고, 무엇으로 손댔고, 무엇이 달라졌는지가 이어지는가.</w:t>
      </w:r>
    </w:p>
    <w:p>
      <w:pPr>
        <w:spacing w:before="8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2. 신청서 원문을 근거로 썼는가</w:t>
      </w:r>
    </w:p>
    <w:p>
      <w:pPr>
        <w:spacing w:before="0" w:after="6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유럽 사례집(89쪽) · Green Pioneer 사례집의 도시별 원문을 출처로 밝혔는가. 홍보물이 아니라 심사용 신청서를 인용했는가.</w:t>
      </w:r>
    </w:p>
    <w:p>
      <w:pPr>
        <w:spacing w:before="8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3. 한국에 옮기면 무엇이 남는가에 답할 수 있는가</w:t>
      </w:r>
    </w:p>
    <w:p>
      <w:pPr>
        <w:spacing w:before="0" w:after="6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경북 · 안동에 옮겼을 때 되는 것과 안 되는 것을 가를 수 있는가. 4대 영역(접근성 · 지속가능성 · 디지털화 · 문화유산과 창의성) 중 어디에 걸리는지 짚었는가.</w:t>
      </w:r>
    </w:p>
    <w:p>
      <w:pPr>
        <w:spacing w:before="80" w:after="80" w:line="324" w:lineRule="auto"/>
      </w:pPr>
      <w:r>
        <w:rPr>
          <w:rFonts w:ascii="맑은 고딕" w:hAnsi="맑은 고딕" w:eastAsia="맑은 고딕"/>
          <w:b w:val="0"/>
          <w:color w:val="8A5814"/>
          <w:sz w:val="17"/>
        </w:rPr>
        <w:t>발표 틀은 다섯 칸입니다 — ① 관광 문제 ② 기술 · 서비스 ③ 관광객 · 도시 효과 ④ 4대 영역 ⑤ 한국 적용 가능성. 과제 1 도시 카드의 세 갈래를 유럽용으로 늘린 것이라, 국내에서 쓰던 틀을 유럽 도시에 그대로 대 보는 것이 이 과제의 요점입니다.</w:t>
      </w:r>
    </w:p>
    <w:p>
      <w:pPr>
        <w:spacing w:before="320" w:after="120" w:line="324" w:lineRule="auto"/>
        <w:pBdr>
          <w:bottom w:val="single" w:sz="6" w:space="4" w:color="C9C2B6"/>
        </w:pBdr>
      </w:pPr>
      <w:r>
        <w:rPr>
          <w:rFonts w:ascii="맑은 고딕" w:hAnsi="맑은 고딕" w:eastAsia="맑은 고딕"/>
          <w:b/>
          <w:color w:val="2F5349"/>
          <w:sz w:val="28"/>
        </w:rPr>
        <w:t>운영 노트 — 강의 전 확인할 네 가지</w:t>
      </w:r>
    </w:p>
    <w:p>
      <w:pPr>
        <w:spacing w:before="100" w:after="20" w:line="324" w:lineRule="auto"/>
        <w:ind w:left="170"/>
      </w:pPr>
      <w:r>
        <w:rPr>
          <w:rFonts w:ascii="맑은 고딕" w:hAnsi="맑은 고딕" w:eastAsia="맑은 고딕"/>
          <w:b/>
          <w:color w:val="A8431B"/>
          <w:sz w:val="20"/>
        </w:rPr>
        <w:t>· 개념 하나만은 반드시 지킬 것</w:t>
      </w:r>
    </w:p>
    <w:p>
      <w:pPr>
        <w:spacing w:before="0" w:after="4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스마트 관광 ≠ 관광객에게 앱을 제공하는 것.  = 기술과 혁신으로 도시의 관광 전체를 더 지속가능하고·접근 가능하고·효율적으로 관리하는 것. AI·앱·빅데이터로만 설명하면 EU 정의보다 좁아집니다. 채점 기준에 명시하십시오.</w:t>
      </w:r>
    </w:p>
    <w:p>
      <w:pPr>
        <w:spacing w:before="10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· 원문 대신 한국어 정리본을 지정할 것</w:t>
      </w:r>
    </w:p>
    <w:p>
      <w:pPr>
        <w:spacing w:before="0" w:after="4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89쪽 EU 사례집과 논문 15편을 전부 읽히면 실패합니다. 마인드맵·표·인터랙티브 지도를 지정하고, 원문은 “리포트에서 인용할 때 찾아가는 곳”으로 위치를 정해 주십시오. 전문이 무료인 것은 Gursoy 외(2024) 한 편입니다.</w:t>
      </w:r>
    </w:p>
    <w:p>
      <w:pPr>
        <w:spacing w:before="10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· 9주 전에 팀별 도시 배정을 확정할 것</w:t>
      </w:r>
    </w:p>
    <w:p>
      <w:pPr>
        <w:spacing w:before="0" w:after="4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9~11주 스마트관광 수도 수상도시 · 12주 Green Pioneer 수상도시 · 13~14주 최종후보가 팀끼리 겹치지 않게 나눕니다. 도시별 원문 쪽수를 사례집에서 먼저 짚어 두면 학생이 홍보물 대신 신청서를 인용합니다.</w:t>
      </w:r>
    </w:p>
    <w:p>
      <w:pPr>
        <w:spacing w:before="100" w:after="20" w:line="324" w:lineRule="auto"/>
        <w:ind w:left="170"/>
      </w:pPr>
      <w:r>
        <w:rPr>
          <w:rFonts w:ascii="맑은 고딕" w:hAnsi="맑은 고딕" w:eastAsia="맑은 고딕"/>
          <w:b/>
          <w:sz w:val="20"/>
        </w:rPr>
        <w:t>· 공모전은 상시 기회로 안내할 것</w:t>
      </w:r>
    </w:p>
    <w:p>
      <w:pPr>
        <w:spacing w:before="0" w:after="40" w:line="324" w:lineRule="auto"/>
        <w:ind w:left="340"/>
      </w:pPr>
      <w:r>
        <w:rPr>
          <w:rFonts w:ascii="맑은 고딕" w:hAnsi="맑은 고딕" w:eastAsia="맑은 고딕"/>
          <w:b w:val="0"/>
          <w:color w:val="55605B"/>
          <w:sz w:val="19"/>
        </w:rPr>
        <w:t>경북 AX 경진대회·한국관광 데이터랩 경진대회는 해마다 열립니다. 올해 마감을 놓쳐도 다음 회차를 겨냥해 14주 기획서 초안을 그대로 응모 원고로 발전시킬 수 있습니다. 대학생은 학생부가 아니라 일반부입니다.</w:t>
      </w:r>
    </w:p>
    <w:p>
      <w:pPr>
        <w:spacing w:before="320" w:after="80" w:line="324" w:lineRule="auto"/>
      </w:pPr>
      <w:r>
        <w:rPr>
          <w:rFonts w:ascii="맑은 고딕" w:hAnsi="맑은 고딕" w:eastAsia="맑은 고딕"/>
          <w:b w:val="0"/>
          <w:color w:val="55605B"/>
          <w:sz w:val="16"/>
        </w:rPr>
        <w:t>선샤인 웰니스 교육자료 · 모듈 01「스마트 투어리즘 — 기술이 바꾸는 여행」기반 15주 강의계획서   |   주차별 「사용 자료」는 sunshinewellness.co.kr/learn/smart-tourism.html 의 파트 번호를 가리킵니다.</w:t>
      </w:r>
    </w:p>
    <w:sectPr w:rsidR="00FC693F" w:rsidRPr="0006063C" w:rsidSect="00034616">
      <w:pgSz w:w="11906" w:h="16838"/>
      <w:pgMar w:top="1020" w:right="964" w:bottom="102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