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  <w:jc w:val="center"/>
      </w:pPr>
      <w:r>
        <w:rPr>
          <w:rFonts w:ascii="맑은 고딕" w:cs="맑은 고딕" w:eastAsia="맑은 고딕" w:hAnsi="맑은 고딕"/>
          <w:b/>
          <w:bCs/>
          <w:color w:val="1F4E3D"/>
          <w:sz w:val="36"/>
          <w:szCs w:val="36"/>
        </w:rPr>
        <w:t xml:space="preserve">스마트 투어리즘 (Smart Tourism)</w:t>
      </w:r>
    </w:p>
    <w:p>
      <w:pPr>
        <w:spacing w:after="100"/>
        <w:jc w:val="center"/>
      </w:pPr>
      <w:r>
        <w:rPr>
          <w:rFonts w:ascii="맑은 고딕" w:cs="맑은 고딕" w:eastAsia="맑은 고딕" w:hAnsi="맑은 고딕"/>
          <w:b/>
          <w:bCs/>
          <w:color w:val="8A6D0B"/>
          <w:sz w:val="24"/>
          <w:szCs w:val="24"/>
        </w:rPr>
        <w:t xml:space="preserve">15주 강의계획서 (Syllabus)</w:t>
      </w:r>
    </w:p>
    <w:p>
      <w:pPr>
        <w:pBdr>
          <w:bottom w:val="single" w:color="8A6D0B" w:sz="12"/>
        </w:pBdr>
        <w:spacing w:after="260"/>
        <w:jc w:val="center"/>
      </w:pPr>
      <w:r>
        <w:rPr>
          <w:rFonts w:ascii="맑은 고딕" w:cs="맑은 고딕" w:eastAsia="맑은 고딕" w:hAnsi="맑은 고딕"/>
          <w:color w:val="5A6470"/>
          <w:sz w:val="20"/>
          <w:szCs w:val="20"/>
        </w:rPr>
        <w:t>국립경국대학교 관광경영학과</w:t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1. 교과목 개요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1900"/>
        <w:gridCol w:w="7700"/>
      </w:tblGrid>
      <w:tr>
        <w:tc>
          <w:tcPr>
            <w:tcW w:type="dxa" w:w="19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교과목명</w:t>
            </w:r>
          </w:p>
        </w:tc>
        <w:tc>
          <w:tcPr>
            <w:tcW w:type="dxa" w:w="7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스마트 투어리즘 (Smart Tourism)</w:t>
            </w:r>
          </w:p>
        </w:tc>
      </w:tr>
      <w:tr>
        <w:tc>
          <w:tcPr>
            <w:tcW w:type="dxa" w:w="19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학점 / 시수</w:t>
            </w:r>
          </w:p>
        </w:tc>
        <w:tc>
          <w:tcPr>
            <w:tcW w:type="dxa" w:w="7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3학점 · 주 2회 · 회당 75분 (주 150분)</w:t>
            </w:r>
          </w:p>
        </w:tc>
      </w:tr>
      <w:tr>
        <w:tc>
          <w:tcPr>
            <w:tcW w:type="dxa" w:w="19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운영 기간</w:t>
            </w:r>
          </w:p>
        </w:tc>
        <w:tc>
          <w:tcPr>
            <w:tcW w:type="dxa" w:w="7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15주 (총 30회차)</w:t>
            </w:r>
          </w:p>
        </w:tc>
      </w:tr>
      <w:tr>
        <w:tc>
          <w:tcPr>
            <w:tcW w:type="dxa" w:w="19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강의 방식</w:t>
            </w:r>
          </w:p>
        </w:tc>
        <w:tc>
          <w:tcPr>
            <w:tcW w:type="dxa" w:w="7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이론 강의 + 논문 리딩 + 영상 시청 + NotebookLM 기반 토론</w:t>
            </w:r>
          </w:p>
        </w:tc>
      </w:tr>
      <w:tr>
        <w:tc>
          <w:tcPr>
            <w:tcW w:type="dxa" w:w="19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선수 지식</w:t>
            </w:r>
          </w:p>
        </w:tc>
        <w:tc>
          <w:tcPr>
            <w:tcW w:type="dxa" w:w="7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별도 요구 없음. 통계·기술 배경이 없어도 수강 가능하도록 설계</w:t>
            </w:r>
          </w:p>
        </w:tc>
      </w:tr>
    </w:tbl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2. 교과목 소개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본 교과목은 정보통신기술과 관광의 결합으로 등장한 ‘스마트관광(Smart Tourism)’을 국내 학술 연구를 통해 체계적으로 이해하는 것을 목표로 한다.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강의는 특정 교재를 따르지 않고, 한국학술지인용색인(KCI)에 등재된 스마트관광 관련 학술논문 138편(2020–2026년 발표)을 직접 읽고 분석하는 방식으로 진행한다. 138편은 주제별로 14개 대주제로 분류되어 25개 회차에 배분되었으며, 매 회차 핵심 논문 3편 내외를 강의 중 심층적으로 다루고 나머지는 참고문헌으로 제공한다.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이 강의의 특징은 논문의 결론만 전달하지 않고, 그 결론이 도출된 연구 설계와 방법을 함께 다룬다는 점이다. 학생은 학기를 마치며 스마트관광 분야의 지형을 파악하는 동시에, 학술 논문을 비판적으로 읽고 스스로 연구 주제를 설정하는 능력을 기르게 된다.</w:t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3. 학습 목표</w:t>
      </w:r>
    </w:p>
    <w:p>
      <w:pPr>
        <w:spacing w:after="50" w:before="50" w:line="28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① 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스마트관광의 개념·구성요소·이론적 토대를 설명할 수 있다.</w:t>
      </w:r>
    </w:p>
    <w:p>
      <w:pPr>
        <w:spacing w:after="50" w:before="50" w:line="28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② 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기술수용이론(TAM·UTAUT2 등)을 비롯한 주요 이론 틀을 이해하고 사례에 적용할 수 있다.</w:t>
      </w:r>
    </w:p>
    <w:p>
      <w:pPr>
        <w:spacing w:after="50" w:before="50" w:line="28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③ 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토픽모델링·구조방정식·AHP·CVM 등 스마트관광 연구에 쓰이는 주요 분석 방법의 목적과 한계를 구분할 수 있다.</w:t>
      </w:r>
    </w:p>
    <w:p>
      <w:pPr>
        <w:spacing w:after="50" w:before="50" w:line="28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④ 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학술 논문의 초록과 연구 설계를 비판적으로 읽고, 결과의 신뢰성을 판단할 수 있다.</w:t>
      </w:r>
    </w:p>
    <w:p>
      <w:pPr>
        <w:spacing w:after="50" w:before="50" w:line="28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⑤ 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스마트관광 분야의 연구 공백을 식별하고, 자신의 연구 주제와 방법론을 설계할 수 있다.</w:t>
      </w:r>
    </w:p>
    <w:p>
      <w:pPr>
        <w:spacing w:after="50" w:before="50" w:line="28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⑥ 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스마트관광 관련 직무를 이해하고 자신의 진로 계획과 연결할 수 있다.</w:t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4. 평가 방법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2400"/>
        <w:gridCol w:w="1300"/>
        <w:gridCol w:w="5900"/>
      </w:tblGrid>
      <w:tr>
        <w:tc>
          <w:tcPr>
            <w:tcW w:type="dxa" w:w="24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평가 항목</w:t>
            </w:r>
          </w:p>
        </w:tc>
        <w:tc>
          <w:tcPr>
            <w:tcW w:type="dxa" w:w="13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비중</w:t>
            </w:r>
          </w:p>
        </w:tc>
        <w:tc>
          <w:tcPr>
            <w:tcW w:type="dxa" w:w="59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중간고사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A1A1A"/>
                <w:sz w:val="18"/>
                <w:szCs w:val="18"/>
              </w:rPr>
              <w:t xml:space="preserve">30%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1~7주 핵심 논문 21편 — 개념 정의, 이론 모형, 스마트관광도시 정책 사례</w:t>
            </w:r>
          </w:p>
        </w:tc>
      </w:tr>
      <w:t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기말고사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A1A1A"/>
                <w:sz w:val="18"/>
                <w:szCs w:val="18"/>
              </w:rPr>
              <w:t xml:space="preserve">30%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9~14주 핵심 논문 — XR, 생성형 AI, 경제적 가치평가, 산업별 적용, 지속가능성</w:t>
            </w:r>
          </w:p>
        </w:tc>
      </w:tr>
      <w:t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연구계획서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A1A1A"/>
                <w:sz w:val="18"/>
                <w:szCs w:val="18"/>
              </w:rPr>
              <w:t xml:space="preserve">25%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학기말 제출. 연구 주제·선행연구·방법론·기대효과 (14주-2회 자료 활용)</w:t>
            </w:r>
          </w:p>
        </w:tc>
      </w:tr>
      <w:t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출석 및 참여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A1A1A"/>
                <w:sz w:val="18"/>
                <w:szCs w:val="18"/>
              </w:rPr>
              <w:t xml:space="preserve">15%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수업 중 토론 참여, 회차별 논문 사전 읽기</w:t>
            </w:r>
          </w:p>
        </w:tc>
      </w:tr>
    </w:tbl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5. 강의 자료 및 운영 방식</w:t>
      </w:r>
    </w:p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주교재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별도 교재 없음. KCI 등재 학술논문 138편(2020–2026)을 회차별로 제공한다.</w:t>
      </w:r>
    </w:p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제공 자료</w:t>
      </w:r>
    </w:p>
    <w:p>
      <w:pPr>
        <w:spacing w:after="40" w:before="40" w:line="270"/>
        <w:ind w:left="215"/>
      </w:pPr>
      <w:r>
        <w:rPr>
          <w:rFonts w:ascii="맑은 고딕" w:cs="맑은 고딕" w:eastAsia="맑은 고딕" w:hAnsi="맑은 고딕"/>
          <w:b/>
          <w:bCs/>
          <w:color w:val="1F4E3D"/>
          <w:sz w:val="20"/>
          <w:szCs w:val="20"/>
        </w:rPr>
        <w:t xml:space="preserve">· 회차별 강의 PPT — </w:t>
      </w:r>
      <w:r>
        <w:rPr>
          <w:rFonts w:ascii="맑은 고딕" w:cs="맑은 고딕" w:eastAsia="맑은 고딕" w:hAnsi="맑은 고딕"/>
          <w:color w:val="1A1A1A"/>
          <w:sz w:val="19"/>
          <w:szCs w:val="19"/>
        </w:rPr>
        <w:t xml:space="preserve">핵심 논문 소개, 개념 설명, 대본, 부록(APA 참고문헌 + 초록 전문 + 저자 키워드)</w:t>
      </w:r>
    </w:p>
    <w:p>
      <w:pPr>
        <w:spacing w:after="40" w:before="40" w:line="270"/>
        <w:ind w:left="215"/>
      </w:pPr>
      <w:r>
        <w:rPr>
          <w:rFonts w:ascii="맑은 고딕" w:cs="맑은 고딕" w:eastAsia="맑은 고딕" w:hAnsi="맑은 고딕"/>
          <w:b/>
          <w:bCs/>
          <w:color w:val="1F4E3D"/>
          <w:sz w:val="20"/>
          <w:szCs w:val="20"/>
        </w:rPr>
        <w:t xml:space="preserve">· 논문 목록 엑셀 — </w:t>
      </w:r>
      <w:r>
        <w:rPr>
          <w:rFonts w:ascii="맑은 고딕" w:cs="맑은 고딕" w:eastAsia="맑은 고딕" w:hAnsi="맑은 고딕"/>
          <w:color w:val="1A1A1A"/>
          <w:sz w:val="19"/>
          <w:szCs w:val="19"/>
        </w:rPr>
        <w:t xml:space="preserve">138편 전체의 APA 참고문헌·회차 배정·피인용·저자키워드·DOI·URL</w:t>
      </w:r>
    </w:p>
    <w:p>
      <w:pPr>
        <w:spacing w:after="40" w:before="40" w:line="270"/>
        <w:ind w:left="215"/>
      </w:pPr>
      <w:r>
        <w:rPr>
          <w:rFonts w:ascii="맑은 고딕" w:cs="맑은 고딕" w:eastAsia="맑은 고딕" w:hAnsi="맑은 고딕"/>
          <w:b/>
          <w:bCs/>
          <w:color w:val="1F4E3D"/>
          <w:sz w:val="20"/>
          <w:szCs w:val="20"/>
        </w:rPr>
        <w:t xml:space="preserve">· 연구 공백·방법론 특강 자료 — </w:t>
      </w:r>
      <w:r>
        <w:rPr>
          <w:rFonts w:ascii="맑은 고딕" w:cs="맑은 고딕" w:eastAsia="맑은 고딕" w:hAnsi="맑은 고딕"/>
          <w:color w:val="1A1A1A"/>
          <w:sz w:val="19"/>
          <w:szCs w:val="19"/>
        </w:rPr>
        <w:t xml:space="preserve">학기말 연구계획서 작성용 별도 자료</w:t>
      </w:r>
    </w:p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75분 수업 운영 (표준)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1800"/>
        <w:gridCol w:w="7800"/>
      </w:tblGrid>
      <w:tr>
        <w:tc>
          <w:tcPr>
            <w:tcW w:type="dxa" w:w="18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10분</w:t>
            </w:r>
          </w:p>
        </w:tc>
        <w:tc>
          <w:tcPr>
            <w:tcW w:type="dxa" w:w="7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관련 영상 시청 — 서비스 시연, 사례 영상, 개념 애니메이션</w:t>
            </w:r>
          </w:p>
        </w:tc>
      </w:tr>
      <w:tr>
        <w:tc>
          <w:tcPr>
            <w:tcW w:type="dxa" w:w="18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25분</w:t>
            </w:r>
          </w:p>
        </w:tc>
        <w:tc>
          <w:tcPr>
            <w:tcW w:type="dxa" w:w="7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개념 강의 — 해당 회차의 이론·방법론 설명</w:t>
            </w:r>
          </w:p>
        </w:tc>
      </w:tr>
      <w:tr>
        <w:tc>
          <w:tcPr>
            <w:tcW w:type="dxa" w:w="18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30분</w:t>
            </w:r>
          </w:p>
        </w:tc>
        <w:tc>
          <w:tcPr>
            <w:tcW w:type="dxa" w:w="7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핵심 논문 3편 소개 — 편당 10분 (연구문제 · 변수 · 결과)</w:t>
            </w:r>
          </w:p>
        </w:tc>
      </w:tr>
      <w:tr>
        <w:tc>
          <w:tcPr>
            <w:tcW w:type="dxa" w:w="18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10분</w:t>
            </w:r>
          </w:p>
        </w:tc>
        <w:tc>
          <w:tcPr>
            <w:tcW w:type="dxa" w:w="7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정리 및 질의응답</w:t>
            </w:r>
          </w:p>
        </w:tc>
      </w:tr>
    </w:tbl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NotebookLM 활용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회차 단위로 노트북을 분리해 핵심 논문과 참고 논문 PDF를 함께 업로드한다. 수업 중 “이 회차 논문들의 공통 변수는 무엇인가”와 같은 질문으로 즉석 비교가 가능하며, 학생은 과제 수행 시 동일한 노트북을 활용한다.</w:t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6. 주차별 강의 계획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5A6470"/>
          <w:sz w:val="17"/>
          <w:szCs w:val="17"/>
        </w:rPr>
        <w:t xml:space="preserve">‘편수’는 해당 회차에 배정된 논문 수(핵심 3편 + 참고)를 의미한다.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900"/>
        <w:gridCol w:w="1000"/>
        <w:gridCol w:w="6600"/>
        <w:gridCol w:w="1100"/>
      </w:tblGrid>
      <w:tr>
        <w:tc>
          <w:tcPr>
            <w:tcW w:type="dxa" w:w="9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주차</w:t>
            </w:r>
          </w:p>
        </w:tc>
        <w:tc>
          <w:tcPr>
            <w:tcW w:type="dxa" w:w="10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회차</w:t>
            </w:r>
          </w:p>
        </w:tc>
        <w:tc>
          <w:tcPr>
            <w:tcW w:type="dxa" w:w="66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강의 주제</w:t>
            </w:r>
          </w:p>
        </w:tc>
        <w:tc>
          <w:tcPr>
            <w:tcW w:type="dxa" w:w="11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편수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스마트관광의 개념·진화·이론적 토대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연구동향 I: 문헌고찰·내용분석·국가별 비교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2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연구동향 II: 토픽모델링·텍스트 네트워크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소셜 빅데이터와 스마트관광 인식 분석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3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스마트관광도시: 개념·계획기준·경쟁력 지표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스마트관광도시: 성과 평가와 국내 사례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4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 생태계와 산업구조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정책·법제도·데이터 거버넌스와 AI 윤리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5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기술수용모델(TAM) 기초와 적용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확장 TAM·기술준비수용모델(TRAM)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6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UTAUT2와 통합기술수용 접근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혁신저항·후기수용모형(PAM)과 서비스 디자인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7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정보기술 속성 → 지각된 가치·만족·사용의도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목적지 이미지·브랜드 경험·충성도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9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8</w:t>
            </w:r>
          </w:p>
        </w:tc>
        <w:tc>
          <w:tcPr>
            <w:tcW w:type="dxa" w:w="10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1·2회</w:t>
            </w:r>
          </w:p>
        </w:tc>
        <w:tc>
          <w:tcPr>
            <w:tcW w:type="dxa" w:w="66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★ 중간고사</w:t>
            </w:r>
          </w:p>
        </w:tc>
        <w:tc>
          <w:tcPr>
            <w:tcW w:type="dxa" w:w="11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9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AR 콘텐츠와 사용자 경험(UX)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MR·스마트글라스·메타버스와 가상관광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10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생성형 AI(ChatGPT·LLM)와 관광 서비스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챗봇·추천시스템·IoT 지능형 인터페이스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11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경제적 파급효과: 산업연관분석·RAS 기법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가치평가 방법론: CVM·선택실험법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12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산업별 적용 I: 숙박·외식·여행업·항공·의료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산업별 적용 II: MICE·축제·이벤트·모빌리티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13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지역·현장 기반: 스마트 농어촌·해양 / 스마트관광과 기술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지속가능한 스마트관광·오버투어리즘·문화유산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14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1회</w:t>
            </w:r>
          </w:p>
        </w:tc>
        <w:tc>
          <w:tcPr>
            <w:tcW w:type="dxa" w:w="6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디지털 리터러시·교육·포용적 스마트관광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9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2회</w:t>
            </w:r>
          </w:p>
        </w:tc>
        <w:tc>
          <w:tcPr>
            <w:tcW w:type="dxa" w:w="66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★ 스마트투어리즘과 취업 (진로 특강)</w:t>
            </w:r>
          </w:p>
        </w:tc>
        <w:tc>
          <w:tcPr>
            <w:tcW w:type="dxa" w:w="11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9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15</w:t>
            </w:r>
          </w:p>
        </w:tc>
        <w:tc>
          <w:tcPr>
            <w:tcW w:type="dxa" w:w="10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1·2회</w:t>
            </w:r>
          </w:p>
        </w:tc>
        <w:tc>
          <w:tcPr>
            <w:tcW w:type="dxa" w:w="66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★ 기말고사</w:t>
            </w:r>
          </w:p>
        </w:tc>
        <w:tc>
          <w:tcPr>
            <w:tcW w:type="dxa" w:w="11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60" w:before="100" w:line="280"/>
      </w:pPr>
      <w:r>
        <w:rPr>
          <w:rFonts w:ascii="맑은 고딕" w:cs="맑은 고딕" w:eastAsia="맑은 고딕" w:hAnsi="맑은 고딕"/>
          <w:color w:val="5A6470"/>
          <w:sz w:val="17"/>
          <w:szCs w:val="17"/>
        </w:rPr>
        <w:t xml:space="preserve">논문 강의 25회차 · 시험 4회차 · 진로 특강 1회차 = 총 30회차 / 논문 138편 전량 배분</w:t>
      </w:r>
    </w:p>
    <w:p>
      <w:r>
        <w:br w:type="page"/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7. 대주제 구성 (14개 그룹)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700"/>
        <w:gridCol w:w="5300"/>
        <w:gridCol w:w="1600"/>
        <w:gridCol w:w="2000"/>
      </w:tblGrid>
      <w:tr>
        <w:tc>
          <w:tcPr>
            <w:tcW w:type="dxa" w:w="7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53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대주제</w:t>
            </w:r>
          </w:p>
        </w:tc>
        <w:tc>
          <w:tcPr>
            <w:tcW w:type="dxa" w:w="16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논문 수</w:t>
            </w:r>
          </w:p>
        </w:tc>
        <w:tc>
          <w:tcPr>
            <w:tcW w:type="dxa" w:w="20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배정 주차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A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스마트관광의 개념과 이론적 기반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6편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B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 연구동향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10편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1~2주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C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빅데이터 기반 관광분석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6편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2주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D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스마트관광도시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11편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3주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E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생태계·정책·거버넌스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13편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4주</w:t>
            </w:r>
          </w:p>
        </w:tc>
      </w:tr>
      <w:tr>
        <w:tc>
          <w:tcPr>
            <w:tcW w:type="dxa" w:w="7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F</w:t>
            </w:r>
          </w:p>
        </w:tc>
        <w:tc>
          <w:tcPr>
            <w:tcW w:type="dxa" w:w="53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A1A1A"/>
                <w:sz w:val="18"/>
                <w:szCs w:val="18"/>
              </w:rPr>
              <w:t xml:space="preserve">기술수용이론</w:t>
            </w:r>
          </w:p>
        </w:tc>
        <w:tc>
          <w:tcPr>
            <w:tcW w:type="dxa" w:w="16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21편</w:t>
            </w:r>
          </w:p>
        </w:tc>
        <w:tc>
          <w:tcPr>
            <w:tcW w:type="dxa" w:w="2000"/>
            <w:shd w:fill="FBF4D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5~6주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G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정보기술 속성과 관광객 반응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13편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7주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H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실감기술(XR)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10편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9주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I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인공지능과 스마트관광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12편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10주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J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경제적 가치와 성과 측정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8편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11주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K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산업별 적용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12편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12주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L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지역 기반 사례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6편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13주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M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지속가능성과 문화유산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6편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13주</w:t>
            </w:r>
          </w:p>
        </w:tc>
      </w:tr>
      <w:tr>
        <w:tc>
          <w:tcPr>
            <w:tcW w:type="dxa" w:w="7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8"/>
                <w:szCs w:val="18"/>
              </w:rPr>
              <w:t xml:space="preserve">N</w:t>
            </w:r>
          </w:p>
        </w:tc>
        <w:tc>
          <w:tcPr>
            <w:tcW w:type="dxa" w:w="5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역량·교육·포용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4편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14주</w:t>
            </w:r>
          </w:p>
        </w:tc>
      </w:tr>
    </w:tbl>
    <w:p>
      <w:pPr>
        <w:spacing w:after="60" w:before="100" w:line="280"/>
      </w:pPr>
      <w:r>
        <w:rPr>
          <w:rFonts w:ascii="맑은 고딕" w:cs="맑은 고딕" w:eastAsia="맑은 고딕" w:hAnsi="맑은 고딕"/>
          <w:color w:val="5A6470"/>
          <w:sz w:val="18"/>
          <w:szCs w:val="18"/>
        </w:rPr>
        <w:t xml:space="preserve">기술수용이론(F)이 21편으로 138편 중 최대 군집이며, 피인용 상위 논문도 이 계열에 집중되어 있다. 국내 스마트관광 연구의 주류 프레임임을 5~6주차에서 명시적으로 다룬다.</w:t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8. 과제 및 학기말 연구계획서</w:t>
      </w:r>
    </w:p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회차별 사전 과제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각 회차의 핵심 논문 3편을 사전에 읽고, 초록에서 연구문제·방법·주요 결과를 확인한 뒤 수업에 참여한다. 참고 논문은 NotebookLM에 업로드된 자료로 보완한다.</w:t>
      </w:r>
    </w:p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학기말 연구계획서 (25%)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본 강의는 학기 전반에 걸쳐 스마트관광 분야의 연구 공백을 함께 확인한다. 학생은 그중 하나를 선택해 연구계획서를 작성한다.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2600"/>
        <w:gridCol w:w="7000"/>
      </w:tblGrid>
      <w:tr>
        <w:tc>
          <w:tcPr>
            <w:tcW w:type="dxa" w:w="26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구성</w:t>
            </w:r>
          </w:p>
        </w:tc>
        <w:tc>
          <w:tcPr>
            <w:tcW w:type="dxa" w:w="7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연구 주제 · 연구 필요성 · 선행연구 검토 · 연구 방법 · 기대효과</w:t>
            </w:r>
          </w:p>
        </w:tc>
      </w:tr>
      <w:tr>
        <w:tc>
          <w:tcPr>
            <w:tcW w:type="dxa" w:w="26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분량</w:t>
            </w:r>
          </w:p>
        </w:tc>
        <w:tc>
          <w:tcPr>
            <w:tcW w:type="dxa" w:w="7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A4 3~5매</w:t>
            </w:r>
          </w:p>
        </w:tc>
      </w:tr>
      <w:tr>
        <w:tc>
          <w:tcPr>
            <w:tcW w:type="dxa" w:w="26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주제 선정 지침</w:t>
            </w:r>
          </w:p>
        </w:tc>
        <w:tc>
          <w:tcPr>
            <w:tcW w:type="dxa" w:w="7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138편 전수 검색으로 확인된 연구 공백 중 선택 (예: 크루즈·복합리조트 산업, 농어촌 스마트관광, 무장애 스마트관광, ESG·탄소)</w:t>
            </w:r>
          </w:p>
        </w:tc>
      </w:tr>
      <w:tr>
        <w:tc>
          <w:tcPr>
            <w:tcW w:type="dxa" w:w="26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방법론 지침</w:t>
            </w:r>
          </w:p>
        </w:tc>
        <w:tc>
          <w:tcPr>
            <w:tcW w:type="dxa" w:w="7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강의 중 다룬 검증된 방법을 활용 (척도개발, 델파이·AHP, Kano 모델, 선택실험법, 내용분석 등)</w:t>
            </w:r>
          </w:p>
        </w:tc>
      </w:tr>
      <w:tr>
        <w:tc>
          <w:tcPr>
            <w:tcW w:type="dxa" w:w="2600"/>
            <w:shd w:fill="EFF3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8"/>
                <w:szCs w:val="18"/>
              </w:rPr>
              <w:t xml:space="preserve">참고 자료</w:t>
            </w:r>
          </w:p>
        </w:tc>
        <w:tc>
          <w:tcPr>
            <w:tcW w:type="dxa" w:w="7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8"/>
                <w:szCs w:val="18"/>
              </w:rPr>
              <w:t xml:space="preserve">「연구 공백과 방법론」 특강 자료 · 138편 논문 목록 엑셀</w:t>
            </w:r>
          </w:p>
        </w:tc>
      </w:tr>
    </w:tbl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9. 진로 연계 (14주-2회)</w:t>
      </w:r>
    </w:p>
    <w:p>
      <w:pPr>
        <w:spacing w:after="60" w:before="60" w:line="280"/>
      </w:pP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학기 중 다룬 주차와 스마트관광 관련 직무를 연결해 진로 설계를 지원한다.</w:t>
      </w:r>
    </w:p>
    <w:tbl>
      <w:tblPr>
        <w:tblW w:type="dxa" w:w="9600"/>
        <w:tblBorders>
          <w:top w:val="single" w:color="C8D2CC" w:sz="4"/>
          <w:left w:val="single" w:color="C8D2CC" w:sz="4"/>
          <w:bottom w:val="single" w:color="C8D2CC" w:sz="4"/>
          <w:right w:val="single" w:color="C8D2CC" w:sz="4"/>
          <w:insideH w:val="single" w:color="D8DEDA" w:sz="4"/>
          <w:insideV w:val="single" w:color="D8DEDA" w:sz="4"/>
        </w:tblBorders>
      </w:tblPr>
      <w:tblGrid>
        <w:gridCol w:w="4000"/>
        <w:gridCol w:w="2200"/>
        <w:gridCol w:w="3400"/>
      </w:tblGrid>
      <w:tr>
        <w:tc>
          <w:tcPr>
            <w:tcW w:type="dxa" w:w="40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직무 영역</w:t>
            </w:r>
          </w:p>
        </w:tc>
        <w:tc>
          <w:tcPr>
            <w:tcW w:type="dxa" w:w="22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연결 주차</w:t>
            </w:r>
          </w:p>
        </w:tc>
        <w:tc>
          <w:tcPr>
            <w:tcW w:type="dxa" w:w="3400"/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8"/>
                <w:szCs w:val="18"/>
              </w:rPr>
              <w:t xml:space="preserve">요구 역량</w:t>
            </w:r>
          </w:p>
        </w:tc>
      </w:tr>
      <w:tr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스마트관광도시 사업단 · 지자체 관광정책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8A6D0B"/>
                <w:sz w:val="18"/>
                <w:szCs w:val="18"/>
              </w:rPr>
              <w:t xml:space="preserve">3~4주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정책·조례 이해, 성과지표 설계</w:t>
            </w:r>
          </w:p>
        </w:tc>
      </w:tr>
      <w:tr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OTA · 관광 플랫폼 기획 / PM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8A6D0B"/>
                <w:sz w:val="18"/>
                <w:szCs w:val="18"/>
              </w:rPr>
              <w:t xml:space="preserve">6~7주, 12주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기술수용 이해, UX, 서비스 기획</w:t>
            </w:r>
          </w:p>
        </w:tc>
      </w:tr>
      <w:tr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DMO 디지털 마케팅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8A6D0B"/>
                <w:sz w:val="18"/>
                <w:szCs w:val="18"/>
              </w:rPr>
              <w:t xml:space="preserve">7주, 12주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목적지 브랜딩, 소셜 데이터 활용</w:t>
            </w:r>
          </w:p>
        </w:tc>
      </w:tr>
      <w:tr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관광 데이터 분석 · 리서치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8A6D0B"/>
                <w:sz w:val="18"/>
                <w:szCs w:val="18"/>
              </w:rPr>
              <w:t xml:space="preserve">2주, 10~11주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텍스트마이닝, 토픽모델링, 파급효과 분석</w:t>
            </w:r>
          </w:p>
        </w:tc>
      </w:tr>
      <w:tr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XR · 실감콘텐츠 기획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8A6D0B"/>
                <w:sz w:val="18"/>
                <w:szCs w:val="18"/>
              </w:rPr>
              <w:t xml:space="preserve">9주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AR/VR 기획, 사용성 평가</w:t>
            </w:r>
          </w:p>
        </w:tc>
      </w:tr>
      <w:tr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MICE 테크 · 이벤트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8A6D0B"/>
                <w:sz w:val="18"/>
                <w:szCs w:val="18"/>
              </w:rPr>
              <w:t xml:space="preserve">12주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A1A1A"/>
                <w:sz w:val="18"/>
                <w:szCs w:val="18"/>
              </w:rPr>
              <w:t xml:space="preserve">하이브리드 운영, 중요도-실행도 분석(IPA)</w:t>
            </w:r>
          </w:p>
        </w:tc>
      </w:tr>
    </w:tbl>
    <w:p>
      <w:pPr>
        <w:spacing w:after="80" w:before="200"/>
      </w:pPr>
      <w:r>
        <w:rPr>
          <w:rFonts w:ascii="맑은 고딕" w:cs="맑은 고딕" w:eastAsia="맑은 고딕" w:hAnsi="맑은 고딕"/>
          <w:b/>
          <w:bCs/>
          <w:color w:val="8A6D0B"/>
          <w:sz w:val="22"/>
          <w:szCs w:val="22"/>
        </w:rPr>
        <w:t xml:space="preserve">수업 활동</w:t>
      </w:r>
    </w:p>
    <w:p>
      <w:pPr>
        <w:spacing w:after="40" w:before="40" w:line="27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1.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138편 저자키워드 워드클라우드 작성 → 산업이 요구하는 역량 키워드 도출</w:t>
      </w:r>
    </w:p>
    <w:p>
      <w:pPr>
        <w:spacing w:after="40" w:before="40" w:line="27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2.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관심 논문 1편 선택 → ‘논문 한 편으로 자기소개서 문단 쓰기’</w:t>
      </w:r>
    </w:p>
    <w:p>
      <w:pPr>
        <w:spacing w:after="40" w:before="40" w:line="270"/>
        <w:ind w:left="215"/>
      </w:pPr>
      <w:r>
        <w:rPr>
          <w:rFonts w:ascii="맑은 고딕" w:cs="맑은 고딕" w:eastAsia="맑은 고딕" w:hAnsi="맑은 고딕"/>
          <w:b/>
          <w:bCs/>
          <w:color w:val="8A6D0B"/>
          <w:sz w:val="20"/>
          <w:szCs w:val="20"/>
        </w:rPr>
        <w:t xml:space="preserve">3. </w:t>
      </w:r>
      <w:r>
        <w:rPr>
          <w:rFonts w:ascii="맑은 고딕" w:cs="맑은 고딕" w:eastAsia="맑은 고딕" w:hAnsi="맑은 고딕"/>
          <w:color w:val="1A1A1A"/>
          <w:sz w:val="20"/>
          <w:szCs w:val="20"/>
        </w:rPr>
        <w:t xml:space="preserve">포트폴리오 1페이지 작성 — 관심 주제 · 활용 가능한 분석 도구 · 목표 직무</w:t>
      </w:r>
    </w:p>
    <w:p>
      <w:pPr>
        <w:pBdr>
          <w:bottom w:val="single" w:color="1F4E3D" w:sz="10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1F4E3D"/>
          <w:sz w:val="26"/>
          <w:szCs w:val="26"/>
        </w:rPr>
        <w:t xml:space="preserve">10. 수강 유의사항</w:t>
      </w:r>
    </w:p>
    <w:p>
      <w:pPr>
        <w:spacing w:after="20" w:before="80" w:line="270"/>
      </w:pPr>
      <w:r>
        <w:rPr>
          <w:rFonts w:ascii="맑은 고딕" w:cs="맑은 고딕" w:eastAsia="맑은 고딕" w:hAnsi="맑은 고딕"/>
          <w:b/>
          <w:bCs/>
          <w:color w:val="1F4E3D"/>
          <w:sz w:val="20"/>
          <w:szCs w:val="20"/>
        </w:rPr>
        <w:t xml:space="preserve">· 논문 인용 시 등재 여부를 확인할 것</w:t>
      </w:r>
    </w:p>
    <w:p>
      <w:pPr>
        <w:spacing w:after="40" w:line="270"/>
        <w:ind w:left="288"/>
      </w:pPr>
      <w:r>
        <w:rPr>
          <w:rFonts w:ascii="맑은 고딕" w:cs="맑은 고딕" w:eastAsia="맑은 고딕" w:hAnsi="맑은 고딕"/>
          <w:color w:val="5A6470"/>
          <w:sz w:val="19"/>
          <w:szCs w:val="19"/>
        </w:rPr>
        <w:t xml:space="preserve">138편 중 4편은 학술대회 발표자료(비등재), 4편은 미등재, 7편은 등재후보다. 강의 자료의 APA 참고문헌에 [학술대회 발표]로 구분 표기했다.</w:t>
      </w:r>
    </w:p>
    <w:p>
      <w:pPr>
        <w:spacing w:after="20" w:before="80" w:line="270"/>
      </w:pPr>
      <w:r>
        <w:rPr>
          <w:rFonts w:ascii="맑은 고딕" w:cs="맑은 고딕" w:eastAsia="맑은 고딕" w:hAnsi="맑은 고딕"/>
          <w:b/>
          <w:bCs/>
          <w:color w:val="1F4E3D"/>
          <w:sz w:val="20"/>
          <w:szCs w:val="20"/>
        </w:rPr>
        <w:t xml:space="preserve">· 초록만 읽고 인용하지 말 것</w:t>
      </w:r>
    </w:p>
    <w:p>
      <w:pPr>
        <w:spacing w:after="40" w:line="270"/>
        <w:ind w:left="288"/>
      </w:pPr>
      <w:r>
        <w:rPr>
          <w:rFonts w:ascii="맑은 고딕" w:cs="맑은 고딕" w:eastAsia="맑은 고딕" w:hAnsi="맑은 고딕"/>
          <w:color w:val="5A6470"/>
          <w:sz w:val="19"/>
          <w:szCs w:val="19"/>
        </w:rPr>
        <w:t xml:space="preserve">일부 논문은 KCI 초록이 잘려 있거나 요인 나열이 중단되어 있다. 인용 시 원문 본문의 가설검정표를 확인해야 한다.</w:t>
      </w:r>
    </w:p>
    <w:p>
      <w:pPr>
        <w:spacing w:after="20" w:before="80" w:line="270"/>
      </w:pPr>
      <w:r>
        <w:rPr>
          <w:rFonts w:ascii="맑은 고딕" w:cs="맑은 고딕" w:eastAsia="맑은 고딕" w:hAnsi="맑은 고딕"/>
          <w:b/>
          <w:bCs/>
          <w:color w:val="1F4E3D"/>
          <w:sz w:val="20"/>
          <w:szCs w:val="20"/>
        </w:rPr>
        <w:t xml:space="preserve">· 기각된 가설을 함께 볼 것</w:t>
      </w:r>
    </w:p>
    <w:p>
      <w:pPr>
        <w:spacing w:after="40" w:line="270"/>
        <w:ind w:left="288"/>
      </w:pPr>
      <w:r>
        <w:rPr>
          <w:rFonts w:ascii="맑은 고딕" w:cs="맑은 고딕" w:eastAsia="맑은 고딕" w:hAnsi="맑은 고딕"/>
          <w:color w:val="5A6470"/>
          <w:sz w:val="19"/>
          <w:szCs w:val="19"/>
        </w:rPr>
        <w:t xml:space="preserve">채택된 결과만 보지 말고 기각된 가설을 확인하는 훈련을 반복한다. 다음 연구 주제가 그 자리에서 나온다.</w:t>
      </w:r>
    </w:p>
    <w:sectPr>
      <w:headerReference w:type="default" r:id="rId8"/>
      <w:footerReference w:type="default" r:id="rId9"/>
      <w:pgSz w:w="11906" w:h="16838" w:orient="portrait"/>
      <w:pgMar w:top="1100" w:right="1000" w:bottom="11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2026-08-20T00:54:50.222Z</dcterms:created>
  <dcterms:modified xsi:type="dcterms:W3CDTF">2026-08-20T00:54:50.223Z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