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17365D"/>
          <w:sz w:val="28"/>
          <w:szCs w:val="28"/>
        </w:rPr>
        <w:t xml:space="preserve">관광산업과 스마트관광 — 1장 강의노트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5D6D7E"/>
          <w:sz w:val="18"/>
          <w:szCs w:val="18"/>
        </w:rPr>
        <w:t xml:space="preserve">개념 → 도시 → 측정 → 수용, 네 갈래로 한 장에 정리합니다.</w:t>
      </w:r>
    </w:p>
    <w:p>
      <w:pPr>
        <w:pBdr>
          <w:bottom w:val="single" w:color="9FB4CC" w:sz="6" w:space="1"/>
        </w:pBdr>
        <w:spacing w:after="0" w:before="0" w:line="240"/>
      </w:pP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1"/>
          <w:szCs w:val="21"/>
        </w:rPr>
        <w:t xml:space="preserve">① 개념 — 스마트 관광이란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sz w:val="19"/>
          <w:szCs w:val="19"/>
        </w:rPr>
        <w:t xml:space="preserve">정의  </w:t>
      </w:r>
      <w:r>
        <w:rPr>
          <w:rFonts w:ascii="나눔고딕" w:cs="나눔고딕" w:eastAsia="나눔고딕" w:hAnsi="나눔고딕"/>
          <w:sz w:val="19"/>
          <w:szCs w:val="19"/>
        </w:rPr>
        <w:t xml:space="preserve">ICT로 관광 자원 · 서비스 · 경험을 데이터로 잇고, 그 데이터로 더 나은 여행을 설계하는 관광.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sz w:val="19"/>
          <w:szCs w:val="19"/>
        </w:rPr>
        <w:t xml:space="preserve">오해와 바른 이해  </w:t>
      </w:r>
      <w:r>
        <w:rPr>
          <w:rFonts w:ascii="나눔고딕" w:cs="나눔고딕" w:eastAsia="나눔고딕" w:hAnsi="나눔고딕"/>
          <w:sz w:val="19"/>
          <w:szCs w:val="19"/>
        </w:rPr>
        <w:t xml:space="preserve">「관광객에게 앱을 주는 것」이 아니라, 도시의 관광 전체를 더 지속가능 · 접근 가능 · 효율적으로 관리하는 것. EU 공모의 첫 심사 부문은 </w:t>
      </w:r>
      <w:r>
        <w:rPr>
          <w:rFonts w:ascii="나눔고딕" w:cs="나눔고딕" w:eastAsia="나눔고딕" w:hAnsi="나눔고딕"/>
          <w:b/>
          <w:bCs/>
          <w:sz w:val="19"/>
          <w:szCs w:val="19"/>
        </w:rPr>
        <w:t xml:space="preserve">접근성</w:t>
      </w:r>
      <w:r>
        <w:rPr>
          <w:rFonts w:ascii="나눔고딕" w:cs="나눔고딕" w:eastAsia="나눔고딕" w:hAnsi="나눔고딕"/>
          <w:sz w:val="19"/>
          <w:szCs w:val="19"/>
        </w:rPr>
        <w:t xml:space="preserve">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sz w:val="19"/>
          <w:szCs w:val="19"/>
        </w:rPr>
        <w:t xml:space="preserve">e-Tourism과의 차이  </w:t>
      </w:r>
      <w:r>
        <w:rPr>
          <w:rFonts w:ascii="나눔고딕" w:cs="나눔고딕" w:eastAsia="나눔고딕" w:hAnsi="나눔고딕"/>
          <w:sz w:val="19"/>
          <w:szCs w:val="19"/>
        </w:rPr>
        <w:t xml:space="preserve">온라인 예약(전자관광) → 센서 · 모바일 · AI가 실시간으로 읽고 반응(스마트 관광).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000"/>
      </w:tblGrid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네 기둥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스마트 목적지(도시 인프라 · 와이파이 · 혼잡 정보) · 스마트 경험(개인화 추천 · AR 해설) · 스마트 비즈니스(동적 가격 · 수요 예측 · OTA) · 스마트 거버넌스(수요 분산 · 오버투어리즘 · 안전)</w:t>
            </w:r>
          </w:p>
        </w:tc>
      </w:tr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기술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모바일 · 앱 · LBS/GPS · IoT(비콘 · 센서) · 빅데이터 · AI(챗봇 · 추천 · 번역) · AR/VR · QR · 모바일 결제</w:t>
            </w:r>
          </w:p>
        </w:tc>
      </w:tr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여정 고리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여행 전 → 이동 중 → 여행 중 → 여행 후 → (후기 데이터가) 다시 여행 전 — 끝이 아니라 고리(loop)</w:t>
            </w:r>
          </w:p>
        </w:tc>
      </w:tr>
    </w:tbl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1"/>
          <w:szCs w:val="21"/>
        </w:rPr>
        <w:t xml:space="preserve">② 도시 — 스마트관광 5대 요소(한국관광공사, 2020)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000"/>
      </w:tblGrid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5대 요소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스마트 경험(AR · VR → 관광매력) · 스마트 편의(O2O · 사이니지 → 일정 관리) · 스마트 서비스(챗봇 · 로보틱스 → 품질 개선) · 스마트 모빌리티(MaaS · 공유 · 자율주행 → 방문범위 확대) · 스마트 플랫폼(AI · 데이터 → 정보 공유)</w:t>
            </w:r>
          </w:p>
        </w:tc>
      </w:tr>
    </w:tbl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1"/>
          <w:szCs w:val="21"/>
        </w:rPr>
        <w:t xml:space="preserve">③ 측정 — 척도개발 다섯 산업과 여덟 요인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000"/>
      </w:tblGrid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여덟 요인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기술통합성 · 편의성 · 정보성 · 스마트인프라 · 신뢰성 · 개인화 · 상호작용성 · 보안성</w:t>
            </w:r>
          </w:p>
        </w:tc>
      </w:tr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FFF8D6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공통 요인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편의성 · 스마트인프라 — 다섯 산업 모두의 바닥</w:t>
            </w:r>
          </w:p>
        </w:tc>
      </w:tr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산업별 기울기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여행 · 외식 · 컨벤션 → 기술통합성 · 정보성 · 신뢰성  /  숙박 · 항공 → 개인화 · 상호작용성  /  항공만 → 보안성</w:t>
            </w:r>
          </w:p>
        </w:tc>
      </w:tr>
      <w:tr>
        <w:tc>
          <w:tcPr>
            <w:tcW w:type="dxa" w:w="17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EF3F9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17365D"/>
                <w:sz w:val="18"/>
                <w:szCs w:val="18"/>
              </w:rPr>
              <w:t xml:space="preserve">만드는 법</w:t>
            </w:r>
          </w:p>
        </w:tc>
        <w:tc>
          <w:tcPr>
            <w:tcW w:type="dxa" w:w="800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sz w:val="18"/>
                <w:szCs w:val="18"/>
              </w:rPr>
              <w:t xml:space="preserve">문헌 · 현장자료(Nvivo 내용분석) → 1차 문항 → FGI · 전문가 검토 → 겹치는 것 · 막연한 것 빼기 → 신뢰도 · 타당도 검증 → 최종 척도</w:t>
            </w:r>
          </w:p>
        </w:tc>
      </w:tr>
    </w:tbl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1"/>
          <w:szCs w:val="21"/>
        </w:rPr>
        <w:t xml:space="preserve">④ 수용 — 왜 쓰고, 왜 안 쓰나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sz w:val="19"/>
          <w:szCs w:val="19"/>
        </w:rPr>
        <w:t xml:space="preserve">TAM(유용성 · 용이성) → TRAM(기술준비도) → UTAUT2(통합 · 습관 · 가격) → 혁신저항 · PAM(지속이용). 기술이 있어도 </w:t>
      </w:r>
      <w:r>
        <w:rPr>
          <w:rFonts w:ascii="나눔고딕" w:cs="나눔고딕" w:eastAsia="나눔고딕" w:hAnsi="나눔고딕"/>
          <w:b/>
          <w:bCs/>
          <w:sz w:val="19"/>
          <w:szCs w:val="19"/>
        </w:rPr>
        <w:t xml:space="preserve">쓰는 사람이 받아들여야</w:t>
      </w:r>
      <w:r>
        <w:rPr>
          <w:rFonts w:ascii="나눔고딕" w:cs="나눔고딕" w:eastAsia="나눔고딕" w:hAnsi="나눔고딕"/>
          <w:sz w:val="19"/>
          <w:szCs w:val="19"/>
        </w:rPr>
        <w:t xml:space="preserve"> 스마트관광이 된다.</w:t>
      </w:r>
    </w:p>
    <w:p>
      <w:pPr>
        <w:pBdr>
          <w:bottom w:val="single" w:color="9FB4CC" w:sz="6" w:space="1"/>
        </w:pBdr>
        <w:spacing w:after="0" w:before="0" w:line="240"/>
      </w:pP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B00020"/>
          <w:sz w:val="20"/>
          <w:szCs w:val="20"/>
        </w:rPr>
        <w:t xml:space="preserve">기억할 세 문장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sz w:val="19"/>
          <w:szCs w:val="19"/>
        </w:rPr>
        <w:t xml:space="preserve">1. 스마트관광은 기술의 보유가 아니라, 이용자가 경험하는 「스마트함」이다.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sz w:val="19"/>
          <w:szCs w:val="19"/>
        </w:rPr>
        <w:t xml:space="preserve">2. 편의성 · 스마트인프라는 모든 산업의 바닥이고, 산업의 여정이 달라지면 강조 요인도 달라진다.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sz w:val="19"/>
          <w:szCs w:val="19"/>
        </w:rPr>
        <w:t xml:space="preserve">3. 앱을 더 만드는 일이 아니라, 여행 전 · 중 · 후의 데이터를 고리로 잇는 일이다.</w:t>
      </w:r>
    </w:p>
    <w:sectPr>
      <w:pgSz w:w="11906" w:h="16838" w:orient="portrait"/>
      <w:pgMar w:top="850" w:right="1077" w:bottom="850" w:left="107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나눔고딕" w:cs="나눔고딕" w:eastAsia="나눔고딕" w:hAnsi="나눔고딕"/>
        <w:sz w:val="20"/>
        <w:szCs w:val="20"/>
      </w:rPr>
    </w:rPrDefault>
    <w:pPrDefault>
      <w:pPr>
        <w:spacing w:after="0" w:before="0"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2026-10-18T05:22:34.404Z</dcterms:created>
  <dcterms:modified xsi:type="dcterms:W3CDTF">2026-10-18T05:22:34.404Z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